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9D21C" w14:textId="77777777" w:rsidR="00413CEE" w:rsidRDefault="00717360" w:rsidP="00413CEE">
      <w:pPr>
        <w:pStyle w:val="Header"/>
        <w:tabs>
          <w:tab w:val="clear" w:pos="4320"/>
        </w:tabs>
        <w:ind w:left="-100" w:right="-60"/>
        <w:jc w:val="center"/>
        <w:rPr>
          <w:rFonts w:ascii="Verdana" w:hAnsi="Verdana"/>
          <w:b/>
          <w:bCs/>
          <w:iCs/>
          <w:sz w:val="34"/>
          <w:szCs w:val="34"/>
        </w:rPr>
      </w:pPr>
      <w:r>
        <w:rPr>
          <w:rFonts w:ascii="Verdana" w:hAnsi="Verdana"/>
          <w:b/>
          <w:bCs/>
          <w:iCs/>
          <w:noProof/>
          <w:sz w:val="34"/>
          <w:szCs w:val="34"/>
        </w:rPr>
        <w:drawing>
          <wp:inline distT="0" distB="0" distL="0" distR="0" wp14:anchorId="1C99176E" wp14:editId="382485F1">
            <wp:extent cx="1790700" cy="662558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mniaLogo p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62558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A5E5290" w14:textId="77777777" w:rsidR="00413CEE" w:rsidRPr="00413CEE" w:rsidRDefault="003B637D" w:rsidP="00413CEE">
      <w:pPr>
        <w:pStyle w:val="Header"/>
        <w:tabs>
          <w:tab w:val="clear" w:pos="4320"/>
        </w:tabs>
        <w:ind w:left="-100" w:right="-60"/>
        <w:jc w:val="center"/>
        <w:rPr>
          <w:rFonts w:ascii="Verdana" w:hAnsi="Verdana"/>
          <w:b/>
          <w:bCs/>
          <w:iCs/>
          <w:sz w:val="34"/>
          <w:szCs w:val="34"/>
        </w:rPr>
      </w:pPr>
      <w:r>
        <w:rPr>
          <w:rFonts w:ascii="Verdana" w:hAnsi="Verdana"/>
          <w:b/>
          <w:bCs/>
          <w:iCs/>
          <w:sz w:val="34"/>
          <w:szCs w:val="34"/>
        </w:rPr>
        <w:br/>
      </w:r>
      <w:r w:rsidR="00413CEE" w:rsidRPr="00413CEE">
        <w:rPr>
          <w:rFonts w:ascii="Verdana" w:hAnsi="Verdana"/>
          <w:b/>
          <w:bCs/>
          <w:iCs/>
          <w:sz w:val="34"/>
          <w:szCs w:val="34"/>
        </w:rPr>
        <w:t>General CME Information</w:t>
      </w:r>
    </w:p>
    <w:p w14:paraId="6F9248B5" w14:textId="77777777" w:rsidR="00413CEE" w:rsidRPr="00413CEE" w:rsidRDefault="00413CEE" w:rsidP="00413CEE">
      <w:pPr>
        <w:rPr>
          <w:rFonts w:ascii="Palatino Linotype" w:hAnsi="Palatino Linotype"/>
          <w:b/>
          <w:sz w:val="26"/>
          <w:szCs w:val="26"/>
          <w:u w:val="single"/>
        </w:rPr>
      </w:pPr>
    </w:p>
    <w:p w14:paraId="59FC4542" w14:textId="77777777" w:rsidR="00413CEE" w:rsidRPr="00413CEE" w:rsidRDefault="00413CEE" w:rsidP="00413CEE">
      <w:pPr>
        <w:autoSpaceDE w:val="0"/>
        <w:autoSpaceDN w:val="0"/>
        <w:adjustRightInd w:val="0"/>
        <w:rPr>
          <w:rFonts w:ascii="Palatino Linotype" w:hAnsi="Palatino Linotype" w:cs="Goudy-Bold"/>
          <w:b/>
          <w:bCs/>
          <w:sz w:val="26"/>
          <w:u w:val="single"/>
        </w:rPr>
      </w:pPr>
      <w:r w:rsidRPr="00413CEE">
        <w:rPr>
          <w:rFonts w:ascii="Palatino Linotype" w:hAnsi="Palatino Linotype"/>
          <w:b/>
          <w:bCs/>
          <w:iCs/>
          <w:sz w:val="26"/>
          <w:szCs w:val="24"/>
        </w:rPr>
        <w:t>Accreditation</w:t>
      </w:r>
      <w:r w:rsidR="007324BC">
        <w:rPr>
          <w:rFonts w:ascii="Palatino Linotype" w:hAnsi="Palatino Linotype"/>
          <w:b/>
          <w:bCs/>
          <w:iCs/>
          <w:sz w:val="26"/>
          <w:szCs w:val="24"/>
        </w:rPr>
        <w:t>:</w:t>
      </w:r>
      <w:r w:rsidRPr="00413CEE">
        <w:rPr>
          <w:rFonts w:ascii="Palatino Linotype" w:hAnsi="Palatino Linotype"/>
          <w:b/>
          <w:bCs/>
          <w:iCs/>
          <w:sz w:val="26"/>
          <w:szCs w:val="24"/>
        </w:rPr>
        <w:t xml:space="preserve"> </w:t>
      </w:r>
    </w:p>
    <w:p w14:paraId="3DF9D868" w14:textId="77777777" w:rsidR="00B3338A" w:rsidRPr="003A40B9" w:rsidRDefault="00B3338A" w:rsidP="00B3338A">
      <w:pPr>
        <w:autoSpaceDE w:val="0"/>
        <w:autoSpaceDN w:val="0"/>
        <w:adjustRightInd w:val="0"/>
        <w:jc w:val="both"/>
        <w:rPr>
          <w:rFonts w:ascii="Palatino Linotype" w:hAnsi="Palatino Linotype" w:cs="Goudy-Bold"/>
          <w:bCs/>
          <w:sz w:val="24"/>
        </w:rPr>
      </w:pPr>
    </w:p>
    <w:p w14:paraId="34EFE90B" w14:textId="124DAC3E" w:rsidR="00B3338A" w:rsidRPr="003A40B9" w:rsidRDefault="00145AE3" w:rsidP="00B3338A">
      <w:pPr>
        <w:autoSpaceDE w:val="0"/>
        <w:autoSpaceDN w:val="0"/>
        <w:adjustRightInd w:val="0"/>
        <w:jc w:val="both"/>
        <w:rPr>
          <w:rFonts w:ascii="Palatino Linotype" w:hAnsi="Palatino Linotype" w:cs="Goudy-Bold"/>
          <w:bCs/>
          <w:sz w:val="24"/>
        </w:rPr>
      </w:pPr>
      <w:r>
        <w:rPr>
          <w:rFonts w:ascii="Palatino Linotype" w:hAnsi="Palatino Linotype" w:cs="Goudy-Bold"/>
          <w:bCs/>
          <w:sz w:val="24"/>
        </w:rPr>
        <w:t>Global Learning Collaborative</w:t>
      </w:r>
      <w:r w:rsidR="00B3338A" w:rsidRPr="003A40B9">
        <w:rPr>
          <w:rFonts w:ascii="Palatino Linotype" w:hAnsi="Palatino Linotype" w:cs="Goudy-Bold"/>
          <w:bCs/>
          <w:sz w:val="24"/>
        </w:rPr>
        <w:t xml:space="preserve"> (</w:t>
      </w:r>
      <w:r>
        <w:rPr>
          <w:rFonts w:ascii="Palatino Linotype" w:hAnsi="Palatino Linotype" w:cs="Goudy-Bold"/>
          <w:bCs/>
          <w:sz w:val="24"/>
        </w:rPr>
        <w:t>GLC</w:t>
      </w:r>
      <w:r w:rsidR="00B3338A" w:rsidRPr="003A40B9">
        <w:rPr>
          <w:rFonts w:ascii="Palatino Linotype" w:hAnsi="Palatino Linotype" w:cs="Goudy-Bold"/>
          <w:bCs/>
          <w:sz w:val="24"/>
        </w:rPr>
        <w:t xml:space="preserve">) is accredited by the Accreditation Council for Continuing Medical Education (ACCME) to provide continuing medical education for physicians. </w:t>
      </w:r>
    </w:p>
    <w:p w14:paraId="72CC2DF9" w14:textId="77777777" w:rsidR="007324BC" w:rsidRDefault="007324BC" w:rsidP="00EC6056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iCs/>
          <w:sz w:val="26"/>
          <w:szCs w:val="24"/>
        </w:rPr>
      </w:pPr>
    </w:p>
    <w:p w14:paraId="1E0CA7A3" w14:textId="77777777" w:rsidR="00413CEE" w:rsidRDefault="007324BC" w:rsidP="00413CEE">
      <w:pPr>
        <w:autoSpaceDE w:val="0"/>
        <w:autoSpaceDN w:val="0"/>
        <w:adjustRightInd w:val="0"/>
        <w:rPr>
          <w:rFonts w:ascii="Palatino Linotype" w:hAnsi="Palatino Linotype"/>
          <w:b/>
          <w:bCs/>
          <w:iCs/>
          <w:sz w:val="26"/>
          <w:szCs w:val="24"/>
        </w:rPr>
      </w:pPr>
      <w:r w:rsidRPr="00413CEE">
        <w:rPr>
          <w:rFonts w:ascii="Palatino Linotype" w:hAnsi="Palatino Linotype"/>
          <w:b/>
          <w:bCs/>
          <w:iCs/>
          <w:sz w:val="26"/>
          <w:szCs w:val="24"/>
        </w:rPr>
        <w:t>Credit Designation</w:t>
      </w:r>
      <w:r>
        <w:rPr>
          <w:rFonts w:ascii="Palatino Linotype" w:hAnsi="Palatino Linotype"/>
          <w:b/>
          <w:bCs/>
          <w:iCs/>
          <w:sz w:val="26"/>
          <w:szCs w:val="24"/>
        </w:rPr>
        <w:t>:</w:t>
      </w:r>
    </w:p>
    <w:p w14:paraId="6687ED8E" w14:textId="77777777" w:rsidR="002F40DF" w:rsidRDefault="002F40DF" w:rsidP="00D34EEE">
      <w:pPr>
        <w:tabs>
          <w:tab w:val="left" w:pos="0"/>
        </w:tabs>
        <w:autoSpaceDE w:val="0"/>
        <w:autoSpaceDN w:val="0"/>
        <w:adjustRightInd w:val="0"/>
        <w:jc w:val="both"/>
        <w:rPr>
          <w:rFonts w:ascii="Palatino Linotype" w:hAnsi="Palatino Linotype" w:cs="Goudy-Bold"/>
          <w:bCs/>
          <w:sz w:val="24"/>
        </w:rPr>
      </w:pPr>
    </w:p>
    <w:p w14:paraId="07B15C85" w14:textId="04A35D1B" w:rsidR="00D34EEE" w:rsidRPr="00072724" w:rsidRDefault="00145AE3" w:rsidP="00D34EEE">
      <w:pPr>
        <w:tabs>
          <w:tab w:val="left" w:pos="0"/>
        </w:tabs>
        <w:autoSpaceDE w:val="0"/>
        <w:autoSpaceDN w:val="0"/>
        <w:adjustRightInd w:val="0"/>
        <w:jc w:val="both"/>
        <w:rPr>
          <w:rFonts w:ascii="Palatino Linotype" w:hAnsi="Palatino Linotype" w:cs="Goudy-Bold"/>
          <w:bCs/>
          <w:sz w:val="24"/>
        </w:rPr>
      </w:pPr>
      <w:r w:rsidRPr="00145AE3">
        <w:rPr>
          <w:rFonts w:ascii="Palatino Linotype" w:hAnsi="Palatino Linotype" w:cs="Goudy-Bold"/>
          <w:bCs/>
          <w:sz w:val="24"/>
        </w:rPr>
        <w:t>Global Learning Collaborative</w:t>
      </w:r>
      <w:r w:rsidR="00F34608" w:rsidRPr="00CF2EF3">
        <w:rPr>
          <w:rFonts w:ascii="Palatino Linotype" w:hAnsi="Palatino Linotype" w:cs="Goudy-Bold"/>
          <w:bCs/>
          <w:sz w:val="24"/>
        </w:rPr>
        <w:t xml:space="preserve"> </w:t>
      </w:r>
      <w:r w:rsidR="00D34EEE" w:rsidRPr="00CF2EF3">
        <w:rPr>
          <w:rFonts w:ascii="Palatino Linotype" w:hAnsi="Palatino Linotype" w:cs="Goudy-Bold"/>
          <w:bCs/>
          <w:sz w:val="24"/>
        </w:rPr>
        <w:t xml:space="preserve">designates this live activity for a maximum </w:t>
      </w:r>
      <w:r w:rsidR="00D34EEE" w:rsidRPr="003E48B1">
        <w:rPr>
          <w:rFonts w:ascii="Palatino Linotype" w:hAnsi="Palatino Linotype" w:cs="Goudy-Bold"/>
          <w:bCs/>
          <w:sz w:val="24"/>
        </w:rPr>
        <w:t xml:space="preserve">of </w:t>
      </w:r>
      <w:r w:rsidR="00FC46B8">
        <w:rPr>
          <w:rFonts w:ascii="Palatino Linotype" w:hAnsi="Palatino Linotype" w:cs="Goudy-Bold"/>
          <w:bCs/>
          <w:sz w:val="24"/>
        </w:rPr>
        <w:br/>
      </w:r>
      <w:r w:rsidR="00464BBD">
        <w:rPr>
          <w:rFonts w:ascii="Palatino Linotype" w:hAnsi="Palatino Linotype" w:cs="Goudy-Bold"/>
          <w:bCs/>
          <w:sz w:val="24"/>
        </w:rPr>
        <w:t>6.25</w:t>
      </w:r>
      <w:r w:rsidR="00D34EEE" w:rsidRPr="00CF2EF3">
        <w:rPr>
          <w:rFonts w:ascii="Palatino Linotype" w:hAnsi="Palatino Linotype" w:cs="Goudy-Bold"/>
          <w:bCs/>
          <w:sz w:val="24"/>
        </w:rPr>
        <w:t xml:space="preserve"> </w:t>
      </w:r>
      <w:r w:rsidR="00D34EEE" w:rsidRPr="00CF2EF3">
        <w:rPr>
          <w:rFonts w:ascii="Palatino Linotype" w:hAnsi="Palatino Linotype" w:cs="Goudy-Bold"/>
          <w:bCs/>
          <w:i/>
          <w:sz w:val="24"/>
        </w:rPr>
        <w:t xml:space="preserve">AMA PRA Category 1 </w:t>
      </w:r>
      <w:proofErr w:type="spellStart"/>
      <w:r w:rsidR="00D34EEE" w:rsidRPr="00CF2EF3">
        <w:rPr>
          <w:rFonts w:ascii="Palatino Linotype" w:hAnsi="Palatino Linotype" w:cs="Goudy-Bold"/>
          <w:bCs/>
          <w:i/>
          <w:sz w:val="24"/>
        </w:rPr>
        <w:t>Credits</w:t>
      </w:r>
      <w:r w:rsidR="00D34EEE" w:rsidRPr="00CF2EF3">
        <w:rPr>
          <w:rFonts w:ascii="Palatino Linotype" w:hAnsi="Palatino Linotype" w:cs="Goudy-Bold"/>
          <w:bCs/>
          <w:i/>
          <w:sz w:val="24"/>
          <w:vertAlign w:val="superscript"/>
        </w:rPr>
        <w:t>TM</w:t>
      </w:r>
      <w:proofErr w:type="spellEnd"/>
      <w:r w:rsidR="00D34EEE" w:rsidRPr="00CF2EF3">
        <w:rPr>
          <w:rFonts w:ascii="Palatino Linotype" w:hAnsi="Palatino Linotype" w:cs="Goudy-Bold"/>
          <w:bCs/>
          <w:i/>
          <w:sz w:val="24"/>
        </w:rPr>
        <w:t>.</w:t>
      </w:r>
      <w:r w:rsidR="00D34EEE" w:rsidRPr="00CF2EF3">
        <w:rPr>
          <w:rFonts w:ascii="Palatino Linotype" w:hAnsi="Palatino Linotype" w:cs="Goudy-Bold"/>
          <w:bCs/>
          <w:sz w:val="24"/>
        </w:rPr>
        <w:t xml:space="preserve">  Physicians should claim only the credit commensurate with the extent of their participation in the activity.</w:t>
      </w:r>
      <w:r w:rsidR="00D34EEE" w:rsidRPr="00072724">
        <w:rPr>
          <w:rFonts w:ascii="Palatino Linotype" w:hAnsi="Palatino Linotype" w:cs="Goudy-Bold"/>
          <w:bCs/>
          <w:sz w:val="24"/>
        </w:rPr>
        <w:t xml:space="preserve"> </w:t>
      </w:r>
    </w:p>
    <w:p w14:paraId="3A371E6D" w14:textId="77777777" w:rsidR="00413CEE" w:rsidRDefault="00413CEE" w:rsidP="00413CEE">
      <w:pPr>
        <w:autoSpaceDE w:val="0"/>
        <w:autoSpaceDN w:val="0"/>
        <w:adjustRightInd w:val="0"/>
        <w:rPr>
          <w:rFonts w:ascii="Palatino Linotype" w:hAnsi="Palatino Linotype"/>
          <w:b/>
          <w:bCs/>
          <w:iCs/>
          <w:smallCaps/>
          <w:spacing w:val="60"/>
          <w:sz w:val="24"/>
          <w:szCs w:val="24"/>
        </w:rPr>
      </w:pPr>
    </w:p>
    <w:p w14:paraId="6F9719B4" w14:textId="77777777" w:rsidR="00413CEE" w:rsidRPr="001762CB" w:rsidRDefault="00413CEE" w:rsidP="00377FA9">
      <w:pPr>
        <w:autoSpaceDE w:val="0"/>
        <w:autoSpaceDN w:val="0"/>
        <w:adjustRightInd w:val="0"/>
        <w:rPr>
          <w:rFonts w:ascii="Palatino Linotype" w:hAnsi="Palatino Linotype" w:cs="TimesNewRoman"/>
          <w:sz w:val="24"/>
        </w:rPr>
      </w:pPr>
      <w:r w:rsidRPr="00413CEE">
        <w:rPr>
          <w:rFonts w:ascii="Palatino Linotype" w:hAnsi="Palatino Linotype"/>
          <w:b/>
          <w:bCs/>
          <w:iCs/>
          <w:sz w:val="26"/>
          <w:szCs w:val="24"/>
        </w:rPr>
        <w:t xml:space="preserve">Disclosure of Conflicts of Interest: </w:t>
      </w:r>
    </w:p>
    <w:p w14:paraId="12C213FE" w14:textId="5D0B2E88" w:rsidR="00377FA9" w:rsidRPr="00BF1BF7" w:rsidRDefault="00377FA9" w:rsidP="00856B58">
      <w:pPr>
        <w:jc w:val="both"/>
        <w:rPr>
          <w:rFonts w:ascii="Palatino Linotype" w:hAnsi="Palatino Linotype" w:cs="Goudy-Bold"/>
          <w:bCs/>
          <w:sz w:val="24"/>
        </w:rPr>
      </w:pPr>
      <w:r w:rsidRPr="00BF1BF7">
        <w:rPr>
          <w:rFonts w:ascii="Palatino Linotype" w:hAnsi="Palatino Linotype" w:cs="Goudy-Bold"/>
          <w:bCs/>
          <w:sz w:val="24"/>
        </w:rPr>
        <w:t xml:space="preserve">In accordance with the ACCME Standards for Commercial Support, </w:t>
      </w:r>
      <w:r w:rsidR="00145AE3" w:rsidRPr="00145AE3">
        <w:rPr>
          <w:rFonts w:ascii="Palatino Linotype" w:hAnsi="Palatino Linotype" w:cs="Goudy-Bold"/>
          <w:bCs/>
          <w:sz w:val="24"/>
        </w:rPr>
        <w:t>Global Learning Collaborative</w:t>
      </w:r>
      <w:r w:rsidRPr="00BF1BF7">
        <w:rPr>
          <w:rFonts w:ascii="Palatino Linotype" w:hAnsi="Palatino Linotype" w:cs="Goudy-Bold"/>
          <w:bCs/>
          <w:sz w:val="24"/>
        </w:rPr>
        <w:t xml:space="preserve"> (</w:t>
      </w:r>
      <w:r w:rsidR="00145AE3">
        <w:rPr>
          <w:rFonts w:ascii="Palatino Linotype" w:hAnsi="Palatino Linotype" w:cs="Goudy-Bold"/>
          <w:bCs/>
          <w:sz w:val="24"/>
        </w:rPr>
        <w:t>GLC</w:t>
      </w:r>
      <w:r w:rsidRPr="00BF1BF7">
        <w:rPr>
          <w:rFonts w:ascii="Palatino Linotype" w:hAnsi="Palatino Linotype" w:cs="Goudy-Bold"/>
          <w:bCs/>
          <w:sz w:val="24"/>
        </w:rPr>
        <w:t xml:space="preserve">) requires that individuals in a position to control the content of an educational activity disclose all relevant financial relationships with any commercial interest. </w:t>
      </w:r>
      <w:r w:rsidR="00145AE3">
        <w:rPr>
          <w:rFonts w:ascii="Palatino Linotype" w:hAnsi="Palatino Linotype" w:cs="Goudy-Bold"/>
          <w:bCs/>
          <w:sz w:val="24"/>
        </w:rPr>
        <w:t>GL</w:t>
      </w:r>
      <w:r w:rsidRPr="00BF1BF7">
        <w:rPr>
          <w:rFonts w:ascii="Palatino Linotype" w:hAnsi="Palatino Linotype" w:cs="Goudy-Bold"/>
          <w:bCs/>
          <w:sz w:val="24"/>
        </w:rPr>
        <w:t xml:space="preserve">C resolves all conflicts of interest to ensure independence, objectivity, balance, and scientific rigor in all its educational programs. </w:t>
      </w:r>
    </w:p>
    <w:p w14:paraId="3A85A5A8" w14:textId="77777777" w:rsidR="00377FA9" w:rsidRPr="00774284" w:rsidRDefault="00377FA9" w:rsidP="00377FA9">
      <w:pPr>
        <w:widowControl w:val="0"/>
        <w:autoSpaceDE w:val="0"/>
        <w:autoSpaceDN w:val="0"/>
        <w:adjustRightInd w:val="0"/>
        <w:ind w:right="400"/>
        <w:rPr>
          <w:rFonts w:asciiTheme="minorHAnsi" w:hAnsiTheme="minorHAnsi" w:cs="Arial"/>
          <w:bCs/>
          <w:sz w:val="22"/>
          <w:szCs w:val="22"/>
        </w:rPr>
      </w:pPr>
    </w:p>
    <w:p w14:paraId="3430E238" w14:textId="77777777" w:rsidR="00377FA9" w:rsidRPr="00BF1BF7" w:rsidRDefault="00377FA9" w:rsidP="00377FA9">
      <w:pPr>
        <w:widowControl w:val="0"/>
        <w:autoSpaceDE w:val="0"/>
        <w:autoSpaceDN w:val="0"/>
        <w:adjustRightInd w:val="0"/>
        <w:rPr>
          <w:rFonts w:ascii="Palatino Linotype" w:hAnsi="Palatino Linotype" w:cs="Goudy-Bold"/>
          <w:b/>
          <w:bCs/>
          <w:sz w:val="24"/>
        </w:rPr>
      </w:pPr>
      <w:r w:rsidRPr="00BF1BF7">
        <w:rPr>
          <w:rFonts w:ascii="Palatino Linotype" w:hAnsi="Palatino Linotype" w:cs="Goudy-Bold"/>
          <w:b/>
          <w:bCs/>
          <w:sz w:val="24"/>
        </w:rPr>
        <w:t>Faculty:</w:t>
      </w:r>
    </w:p>
    <w:tbl>
      <w:tblPr>
        <w:tblpPr w:leftFromText="180" w:rightFromText="180" w:vertAnchor="text" w:horzAnchor="margin" w:tblpY="13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220"/>
      </w:tblGrid>
      <w:tr w:rsidR="00377FA9" w:rsidRPr="001762CB" w14:paraId="246EC05C" w14:textId="77777777" w:rsidTr="0055392D">
        <w:tc>
          <w:tcPr>
            <w:tcW w:w="4428" w:type="dxa"/>
            <w:tcBorders>
              <w:bottom w:val="single" w:sz="4" w:space="0" w:color="auto"/>
            </w:tcBorders>
          </w:tcPr>
          <w:p w14:paraId="52633D0F" w14:textId="77777777" w:rsidR="00377FA9" w:rsidRPr="00112B2D" w:rsidRDefault="00377FA9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i/>
                <w:sz w:val="24"/>
                <w:highlight w:val="yellow"/>
              </w:rPr>
            </w:pPr>
            <w:r w:rsidRPr="00112B2D">
              <w:rPr>
                <w:rFonts w:ascii="Palatino Linotype" w:hAnsi="Palatino Linotype" w:cs="Goudy-Bold"/>
                <w:b/>
                <w:bCs/>
                <w:i/>
                <w:sz w:val="24"/>
              </w:rPr>
              <w:t xml:space="preserve">Name of Faculty 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442A4390" w14:textId="77777777" w:rsidR="00377FA9" w:rsidRPr="00112B2D" w:rsidRDefault="00377FA9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i/>
                <w:sz w:val="24"/>
                <w:highlight w:val="yellow"/>
              </w:rPr>
            </w:pPr>
            <w:r w:rsidRPr="00112B2D">
              <w:rPr>
                <w:rFonts w:ascii="Palatino Linotype" w:hAnsi="Palatino Linotype" w:cs="Goudy-Bold"/>
                <w:b/>
                <w:bCs/>
                <w:i/>
                <w:sz w:val="24"/>
              </w:rPr>
              <w:t>Reported Areas of Conflict</w:t>
            </w:r>
          </w:p>
        </w:tc>
      </w:tr>
      <w:tr w:rsidR="00333ABD" w:rsidRPr="001762CB" w14:paraId="59D54A02" w14:textId="77777777" w:rsidTr="00FC46B8">
        <w:tc>
          <w:tcPr>
            <w:tcW w:w="4428" w:type="dxa"/>
            <w:tcBorders>
              <w:bottom w:val="single" w:sz="4" w:space="0" w:color="auto"/>
            </w:tcBorders>
          </w:tcPr>
          <w:p w14:paraId="7D98DEF0" w14:textId="3C85B54C" w:rsidR="00333ABD" w:rsidRPr="00242C23" w:rsidRDefault="00333ABD" w:rsidP="00333ABD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  <w:szCs w:val="24"/>
              </w:rPr>
            </w:pPr>
            <w:r w:rsidRPr="00242C23">
              <w:rPr>
                <w:rFonts w:ascii="Palatino Linotype" w:hAnsi="Palatino Linotype"/>
                <w:sz w:val="24"/>
                <w:szCs w:val="24"/>
              </w:rPr>
              <w:t>Eliot Brinton, MD, FAHA, FNLA</w:t>
            </w:r>
            <w:r w:rsidR="00242C23" w:rsidRPr="00242C23">
              <w:rPr>
                <w:rFonts w:ascii="Palatino Linotype" w:hAnsi="Palatino Linotype"/>
                <w:sz w:val="24"/>
                <w:szCs w:val="24"/>
              </w:rPr>
              <w:t>, FACE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6CAD925F" w14:textId="5AA9CCCF" w:rsidR="00333ABD" w:rsidRPr="00B177E0" w:rsidRDefault="00242C23" w:rsidP="00B177E0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242C23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Consulting Fees</w:t>
            </w:r>
            <w:r w:rsidRPr="00242C23">
              <w:rPr>
                <w:rFonts w:ascii="Palatino Linotype" w:hAnsi="Palatino Linotype" w:cs="Arial"/>
                <w:sz w:val="24"/>
                <w:szCs w:val="24"/>
              </w:rPr>
              <w:t xml:space="preserve">: </w:t>
            </w:r>
            <w:proofErr w:type="spellStart"/>
            <w:r w:rsidRPr="00242C23">
              <w:rPr>
                <w:rFonts w:ascii="Palatino Linotype" w:hAnsi="Palatino Linotype" w:cs="Arial"/>
                <w:sz w:val="24"/>
                <w:szCs w:val="24"/>
              </w:rPr>
              <w:t>Amarin</w:t>
            </w:r>
            <w:proofErr w:type="spellEnd"/>
            <w:r w:rsidRPr="00242C23">
              <w:rPr>
                <w:rFonts w:ascii="Palatino Linotype" w:hAnsi="Palatino Linotype" w:cs="Arial"/>
                <w:sz w:val="24"/>
                <w:szCs w:val="24"/>
              </w:rPr>
              <w:t>, Esperion, Kowa</w:t>
            </w:r>
            <w:r w:rsidRPr="00242C23">
              <w:rPr>
                <w:rFonts w:ascii="Palatino Linotype" w:hAnsi="Palatino Linotype" w:cs="Arial"/>
                <w:sz w:val="24"/>
                <w:szCs w:val="24"/>
              </w:rPr>
              <w:br/>
            </w:r>
            <w:r w:rsidRPr="00242C23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Commercial Interest Speakers Bureau:</w:t>
            </w:r>
            <w:r w:rsidRPr="00242C23"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  <w:proofErr w:type="spellStart"/>
            <w:r w:rsidRPr="00242C23">
              <w:rPr>
                <w:rFonts w:ascii="Palatino Linotype" w:hAnsi="Palatino Linotype" w:cs="Arial"/>
                <w:sz w:val="24"/>
                <w:szCs w:val="24"/>
              </w:rPr>
              <w:t>Amarin</w:t>
            </w:r>
            <w:proofErr w:type="spellEnd"/>
            <w:r w:rsidRPr="00242C23">
              <w:rPr>
                <w:rFonts w:ascii="Palatino Linotype" w:hAnsi="Palatino Linotype" w:cs="Arial"/>
                <w:sz w:val="24"/>
                <w:szCs w:val="24"/>
              </w:rPr>
              <w:t xml:space="preserve">, Amgen, </w:t>
            </w:r>
            <w:proofErr w:type="spellStart"/>
            <w:r w:rsidRPr="00242C23">
              <w:rPr>
                <w:rFonts w:ascii="Palatino Linotype" w:hAnsi="Palatino Linotype" w:cs="Arial"/>
                <w:sz w:val="24"/>
                <w:szCs w:val="24"/>
              </w:rPr>
              <w:t>Koehringer</w:t>
            </w:r>
            <w:proofErr w:type="spellEnd"/>
            <w:r w:rsidRPr="00242C23">
              <w:rPr>
                <w:rFonts w:ascii="Palatino Linotype" w:hAnsi="Palatino Linotype" w:cs="Arial"/>
                <w:sz w:val="24"/>
                <w:szCs w:val="24"/>
              </w:rPr>
              <w:t>, Kowa, Merck, Nova, Regeneron, Sanofi</w:t>
            </w:r>
          </w:p>
        </w:tc>
      </w:tr>
      <w:tr w:rsidR="000423FB" w:rsidRPr="001762CB" w14:paraId="4D03F812" w14:textId="77777777" w:rsidTr="00FC46B8">
        <w:tc>
          <w:tcPr>
            <w:tcW w:w="4428" w:type="dxa"/>
            <w:tcBorders>
              <w:bottom w:val="single" w:sz="4" w:space="0" w:color="auto"/>
            </w:tcBorders>
          </w:tcPr>
          <w:p w14:paraId="35969FF8" w14:textId="2A3B51E0" w:rsidR="000423FB" w:rsidRPr="001A4C32" w:rsidRDefault="000423FB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bookmarkStart w:id="0" w:name="_Hlk525571342"/>
            <w:r w:rsidRPr="000423FB">
              <w:rPr>
                <w:rFonts w:ascii="Palatino Linotype" w:hAnsi="Palatino Linotype" w:cs="Goudy-Bold"/>
                <w:bCs/>
                <w:sz w:val="24"/>
              </w:rPr>
              <w:t>Stephen M. Cohen, MD, FACOG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6E83B001" w14:textId="64913EEC" w:rsidR="000423FB" w:rsidRPr="00CB5D73" w:rsidRDefault="000423FB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8276A0">
              <w:rPr>
                <w:rFonts w:ascii="Palatino Linotype" w:hAnsi="Palatino Linotype" w:cs="Goudy-Bold"/>
                <w:b/>
                <w:bCs/>
                <w:sz w:val="24"/>
              </w:rPr>
              <w:t>Consulting Fees:</w:t>
            </w:r>
            <w:r w:rsidRPr="008276A0">
              <w:rPr>
                <w:rFonts w:ascii="Palatino Linotype" w:hAnsi="Palatino Linotype" w:cs="Goudy-Bold"/>
                <w:bCs/>
                <w:sz w:val="24"/>
              </w:rPr>
              <w:t xml:space="preserve"> AbbVie</w:t>
            </w:r>
            <w:r w:rsidRPr="00531905">
              <w:rPr>
                <w:rFonts w:ascii="Palatino Linotype" w:hAnsi="Palatino Linotype" w:cs="Goudy-Bold"/>
                <w:bCs/>
                <w:sz w:val="24"/>
              </w:rPr>
              <w:t xml:space="preserve"> </w:t>
            </w:r>
          </w:p>
        </w:tc>
      </w:tr>
      <w:tr w:rsidR="00FC46B8" w:rsidRPr="001762CB" w14:paraId="1EB7BABF" w14:textId="77777777" w:rsidTr="00FC46B8"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6C92BA" w14:textId="77777777" w:rsidR="00FC46B8" w:rsidRPr="000423FB" w:rsidRDefault="00FC46B8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5A42B" w14:textId="77777777" w:rsidR="00FC46B8" w:rsidRPr="008276A0" w:rsidRDefault="00FC46B8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</w:p>
        </w:tc>
      </w:tr>
      <w:tr w:rsidR="00FC46B8" w:rsidRPr="001762CB" w14:paraId="1A286D2B" w14:textId="77777777" w:rsidTr="00FC46B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7C89458C" w14:textId="77777777" w:rsidR="00FC46B8" w:rsidRPr="000423FB" w:rsidRDefault="00FC46B8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393DFD3A" w14:textId="77777777" w:rsidR="00FC46B8" w:rsidRPr="008276A0" w:rsidRDefault="00FC46B8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</w:p>
        </w:tc>
      </w:tr>
      <w:tr w:rsidR="00FC46B8" w:rsidRPr="001762CB" w14:paraId="4758E885" w14:textId="77777777" w:rsidTr="00FC46B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3FBC54E7" w14:textId="77777777" w:rsidR="00FC46B8" w:rsidRPr="000423FB" w:rsidRDefault="00FC46B8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3711F7B7" w14:textId="77777777" w:rsidR="00FC46B8" w:rsidRPr="008276A0" w:rsidRDefault="00FC46B8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</w:p>
        </w:tc>
      </w:tr>
      <w:tr w:rsidR="00FC46B8" w:rsidRPr="001762CB" w14:paraId="53B19670" w14:textId="77777777" w:rsidTr="00FC46B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4986A9EA" w14:textId="77777777" w:rsidR="00FC46B8" w:rsidRPr="000423FB" w:rsidRDefault="00FC46B8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E31485A" w14:textId="77777777" w:rsidR="00FC46B8" w:rsidRPr="008276A0" w:rsidRDefault="00FC46B8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</w:p>
        </w:tc>
      </w:tr>
      <w:tr w:rsidR="00FC46B8" w:rsidRPr="001762CB" w14:paraId="633DE3E3" w14:textId="77777777" w:rsidTr="00FC46B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6EDC9F15" w14:textId="77777777" w:rsidR="00FC46B8" w:rsidRPr="000423FB" w:rsidRDefault="00FC46B8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20CFE982" w14:textId="77777777" w:rsidR="00FC46B8" w:rsidRPr="008276A0" w:rsidRDefault="00FC46B8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</w:p>
        </w:tc>
      </w:tr>
      <w:tr w:rsidR="00BE22C8" w:rsidRPr="001762CB" w14:paraId="1502EFA7" w14:textId="77777777" w:rsidTr="00FC46B8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7625BE3C" w14:textId="19B51B3F" w:rsidR="00BE22C8" w:rsidRPr="000423FB" w:rsidRDefault="00242C23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>
              <w:rPr>
                <w:rFonts w:ascii="Palatino Linotype" w:hAnsi="Palatino Linotype" w:cs="Goudy-Bold"/>
                <w:bCs/>
                <w:sz w:val="24"/>
              </w:rPr>
              <w:lastRenderedPageBreak/>
              <w:t>Erin D</w:t>
            </w:r>
            <w:r w:rsidR="00B177E0">
              <w:rPr>
                <w:rFonts w:ascii="Palatino Linotype" w:hAnsi="Palatino Linotype" w:cs="Goudy-Bold"/>
                <w:bCs/>
                <w:sz w:val="24"/>
              </w:rPr>
              <w:t>.</w:t>
            </w:r>
            <w:r>
              <w:rPr>
                <w:rFonts w:ascii="Palatino Linotype" w:hAnsi="Palatino Linotype" w:cs="Goudy-Bold"/>
                <w:bCs/>
                <w:sz w:val="24"/>
              </w:rPr>
              <w:t xml:space="preserve"> Michos</w:t>
            </w:r>
            <w:r w:rsidR="00B177E0">
              <w:rPr>
                <w:rFonts w:ascii="Palatino Linotype" w:hAnsi="Palatino Linotype" w:cs="Goudy-Bold"/>
                <w:bCs/>
                <w:sz w:val="24"/>
              </w:rPr>
              <w:t>, MD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20FFEBBA" w14:textId="53E2EF64" w:rsidR="00BE22C8" w:rsidRPr="000423FB" w:rsidRDefault="0085644D" w:rsidP="00B177E0">
            <w:pPr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85644D">
              <w:rPr>
                <w:rFonts w:ascii="Palatino Linotype" w:hAnsi="Palatino Linotype" w:cs="Arial"/>
                <w:sz w:val="24"/>
                <w:szCs w:val="24"/>
              </w:rPr>
              <w:t>No relationship reported</w:t>
            </w:r>
          </w:p>
        </w:tc>
      </w:tr>
      <w:tr w:rsidR="00B177E0" w:rsidRPr="001762CB" w14:paraId="3A39B410" w14:textId="77777777" w:rsidTr="0055392D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0A9709AC" w14:textId="732D2227" w:rsidR="00B177E0" w:rsidRPr="00941086" w:rsidRDefault="00B177E0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>
              <w:rPr>
                <w:rFonts w:ascii="Palatino Linotype" w:hAnsi="Palatino Linotype" w:cs="Goudy-Bold"/>
                <w:bCs/>
                <w:sz w:val="24"/>
              </w:rPr>
              <w:t>Anita L. Nelson, MD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743CD1A4" w14:textId="77777777" w:rsidR="00B177E0" w:rsidRPr="00B177E0" w:rsidRDefault="00B177E0" w:rsidP="00B177E0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B177E0">
              <w:rPr>
                <w:rFonts w:ascii="Palatino Linotype" w:hAnsi="Palatino Linotype" w:cs="Goudy-Bold"/>
                <w:b/>
                <w:bCs/>
                <w:sz w:val="24"/>
              </w:rPr>
              <w:t xml:space="preserve">Grants/Research: </w:t>
            </w:r>
            <w:r w:rsidRPr="00B177E0">
              <w:rPr>
                <w:rFonts w:ascii="Palatino Linotype" w:hAnsi="Palatino Linotype" w:cs="Goudy-Bold"/>
                <w:sz w:val="24"/>
              </w:rPr>
              <w:t xml:space="preserve">Agile Pharmaceutical, </w:t>
            </w:r>
            <w:proofErr w:type="spellStart"/>
            <w:r w:rsidRPr="00B177E0">
              <w:rPr>
                <w:rFonts w:ascii="Palatino Linotype" w:hAnsi="Palatino Linotype" w:cs="Goudy-Bold"/>
                <w:sz w:val="24"/>
              </w:rPr>
              <w:t>Evofem</w:t>
            </w:r>
            <w:proofErr w:type="spellEnd"/>
            <w:r w:rsidRPr="00B177E0">
              <w:rPr>
                <w:rFonts w:ascii="Palatino Linotype" w:hAnsi="Palatino Linotype" w:cs="Goudy-Bold"/>
                <w:sz w:val="24"/>
              </w:rPr>
              <w:t xml:space="preserve">, Merck, </w:t>
            </w:r>
            <w:proofErr w:type="spellStart"/>
            <w:r w:rsidRPr="00B177E0">
              <w:rPr>
                <w:rFonts w:ascii="Palatino Linotype" w:hAnsi="Palatino Linotype" w:cs="Goudy-Bold"/>
                <w:sz w:val="24"/>
              </w:rPr>
              <w:t>Sebela</w:t>
            </w:r>
            <w:proofErr w:type="spellEnd"/>
            <w:r w:rsidRPr="00B177E0">
              <w:rPr>
                <w:rFonts w:ascii="Palatino Linotype" w:hAnsi="Palatino Linotype" w:cs="Goudy-Bold"/>
                <w:sz w:val="24"/>
              </w:rPr>
              <w:t xml:space="preserve"> Pharmaceutical</w:t>
            </w:r>
          </w:p>
          <w:p w14:paraId="5C4370E5" w14:textId="77777777" w:rsidR="00B177E0" w:rsidRPr="00B177E0" w:rsidRDefault="00B177E0" w:rsidP="00B177E0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sz w:val="24"/>
              </w:rPr>
            </w:pPr>
            <w:r w:rsidRPr="00B177E0">
              <w:rPr>
                <w:rFonts w:ascii="Palatino Linotype" w:hAnsi="Palatino Linotype" w:cs="Goudy-Bold"/>
                <w:b/>
                <w:bCs/>
                <w:sz w:val="24"/>
              </w:rPr>
              <w:t xml:space="preserve">Honoraria/Speakers Bureau: </w:t>
            </w:r>
            <w:r w:rsidRPr="00B177E0">
              <w:rPr>
                <w:rFonts w:ascii="Palatino Linotype" w:hAnsi="Palatino Linotype" w:cs="Goudy-Bold"/>
                <w:sz w:val="24"/>
              </w:rPr>
              <w:t xml:space="preserve">American Regent, Bayer HealthCare, Merck, </w:t>
            </w:r>
            <w:proofErr w:type="spellStart"/>
            <w:r w:rsidRPr="00B177E0">
              <w:rPr>
                <w:rFonts w:ascii="Palatino Linotype" w:hAnsi="Palatino Linotype" w:cs="Goudy-Bold"/>
                <w:sz w:val="24"/>
              </w:rPr>
              <w:t>TherapeuticsMD</w:t>
            </w:r>
            <w:proofErr w:type="spellEnd"/>
          </w:p>
          <w:p w14:paraId="5F5AD211" w14:textId="224EE5D2" w:rsidR="00B177E0" w:rsidRPr="000423FB" w:rsidRDefault="00B177E0" w:rsidP="00B177E0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B177E0">
              <w:rPr>
                <w:rFonts w:ascii="Palatino Linotype" w:hAnsi="Palatino Linotype" w:cs="Goudy-Bold"/>
                <w:b/>
                <w:bCs/>
                <w:sz w:val="24"/>
              </w:rPr>
              <w:t xml:space="preserve">Consultant/Advisory Board: </w:t>
            </w:r>
            <w:r w:rsidRPr="00B177E0">
              <w:rPr>
                <w:rFonts w:ascii="Palatino Linotype" w:hAnsi="Palatino Linotype" w:cs="Goudy-Bold"/>
                <w:sz w:val="24"/>
              </w:rPr>
              <w:t xml:space="preserve">Agile Pharmaceutical, AMAG, American Regent, Bayer HealthCare, Merck, </w:t>
            </w:r>
            <w:proofErr w:type="spellStart"/>
            <w:r w:rsidRPr="00B177E0">
              <w:rPr>
                <w:rFonts w:ascii="Palatino Linotype" w:hAnsi="Palatino Linotype" w:cs="Goudy-Bold"/>
                <w:sz w:val="24"/>
              </w:rPr>
              <w:t>TherapeuticsMD</w:t>
            </w:r>
            <w:proofErr w:type="spellEnd"/>
          </w:p>
        </w:tc>
      </w:tr>
      <w:tr w:rsidR="000423FB" w:rsidRPr="001762CB" w14:paraId="042D4124" w14:textId="77777777" w:rsidTr="0055392D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7A311551" w14:textId="3F620F69" w:rsidR="000423FB" w:rsidRPr="0038138D" w:rsidRDefault="000423FB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941086">
              <w:rPr>
                <w:rFonts w:ascii="Palatino Linotype" w:hAnsi="Palatino Linotype" w:cs="Goudy-Bold"/>
                <w:bCs/>
                <w:sz w:val="24"/>
              </w:rPr>
              <w:t>David J. Portman, MD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16F92686" w14:textId="77777777" w:rsidR="00B177E0" w:rsidRPr="00B177E0" w:rsidRDefault="00B177E0" w:rsidP="00B177E0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B177E0">
              <w:rPr>
                <w:rFonts w:ascii="Palatino Linotype" w:hAnsi="Palatino Linotype" w:cs="Goudy-Bold"/>
                <w:b/>
                <w:bCs/>
                <w:sz w:val="24"/>
              </w:rPr>
              <w:t xml:space="preserve">Advisory Board: </w:t>
            </w:r>
            <w:proofErr w:type="spellStart"/>
            <w:r w:rsidRPr="00B177E0">
              <w:rPr>
                <w:rFonts w:ascii="Palatino Linotype" w:hAnsi="Palatino Linotype" w:cs="Goudy-Bold"/>
                <w:sz w:val="24"/>
              </w:rPr>
              <w:t>Evofem</w:t>
            </w:r>
            <w:proofErr w:type="spellEnd"/>
            <w:r w:rsidRPr="00B177E0">
              <w:rPr>
                <w:rFonts w:ascii="Palatino Linotype" w:hAnsi="Palatino Linotype" w:cs="Goudy-Bold"/>
                <w:b/>
                <w:bCs/>
                <w:sz w:val="24"/>
              </w:rPr>
              <w:t xml:space="preserve"> </w:t>
            </w:r>
          </w:p>
          <w:p w14:paraId="6F47A896" w14:textId="77777777" w:rsidR="00B177E0" w:rsidRPr="00B177E0" w:rsidRDefault="00B177E0" w:rsidP="00B177E0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B177E0">
              <w:rPr>
                <w:rFonts w:ascii="Palatino Linotype" w:hAnsi="Palatino Linotype" w:cs="Goudy-Bold"/>
                <w:b/>
                <w:bCs/>
                <w:sz w:val="24"/>
              </w:rPr>
              <w:t xml:space="preserve">Consulting Fees: </w:t>
            </w:r>
            <w:r w:rsidRPr="00B177E0">
              <w:rPr>
                <w:rFonts w:ascii="Palatino Linotype" w:hAnsi="Palatino Linotype" w:cs="Goudy-Bold"/>
                <w:sz w:val="24"/>
              </w:rPr>
              <w:t xml:space="preserve">Agile Therapeutics, </w:t>
            </w:r>
            <w:proofErr w:type="spellStart"/>
            <w:r w:rsidRPr="00B177E0">
              <w:rPr>
                <w:rFonts w:ascii="Palatino Linotype" w:hAnsi="Palatino Linotype" w:cs="Goudy-Bold"/>
                <w:sz w:val="24"/>
              </w:rPr>
              <w:t>Sebela</w:t>
            </w:r>
            <w:proofErr w:type="spellEnd"/>
            <w:r w:rsidRPr="00B177E0">
              <w:rPr>
                <w:rFonts w:ascii="Palatino Linotype" w:hAnsi="Palatino Linotype" w:cs="Goudy-Bold"/>
                <w:b/>
                <w:bCs/>
                <w:sz w:val="24"/>
              </w:rPr>
              <w:t xml:space="preserve"> </w:t>
            </w:r>
          </w:p>
          <w:p w14:paraId="2B1B6E64" w14:textId="77777777" w:rsidR="00B177E0" w:rsidRPr="00B177E0" w:rsidRDefault="00B177E0" w:rsidP="00B177E0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B177E0">
              <w:rPr>
                <w:rFonts w:ascii="Palatino Linotype" w:hAnsi="Palatino Linotype" w:cs="Goudy-Bold"/>
                <w:b/>
                <w:bCs/>
                <w:sz w:val="24"/>
              </w:rPr>
              <w:t xml:space="preserve">Research Grants: </w:t>
            </w:r>
            <w:r w:rsidRPr="00B177E0">
              <w:rPr>
                <w:rFonts w:ascii="Palatino Linotype" w:hAnsi="Palatino Linotype" w:cs="Goudy-Bold"/>
                <w:sz w:val="24"/>
              </w:rPr>
              <w:t>Agile Therapeutics</w:t>
            </w:r>
          </w:p>
          <w:p w14:paraId="480BB50B" w14:textId="5666BB62" w:rsidR="000423FB" w:rsidRPr="0038138D" w:rsidRDefault="00B177E0" w:rsidP="00B177E0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B177E0">
              <w:rPr>
                <w:rFonts w:ascii="Palatino Linotype" w:hAnsi="Palatino Linotype" w:cs="Goudy-Bold"/>
                <w:b/>
                <w:bCs/>
                <w:sz w:val="24"/>
              </w:rPr>
              <w:t xml:space="preserve">Shareholder: </w:t>
            </w:r>
            <w:proofErr w:type="spellStart"/>
            <w:r w:rsidRPr="00B177E0">
              <w:rPr>
                <w:rFonts w:ascii="Palatino Linotype" w:hAnsi="Palatino Linotype" w:cs="Goudy-Bold"/>
                <w:sz w:val="24"/>
              </w:rPr>
              <w:t>Sermonix</w:t>
            </w:r>
            <w:proofErr w:type="spellEnd"/>
            <w:r w:rsidRPr="00B177E0">
              <w:rPr>
                <w:rFonts w:ascii="Palatino Linotype" w:hAnsi="Palatino Linotype" w:cs="Goudy-Bold"/>
                <w:sz w:val="24"/>
              </w:rPr>
              <w:t xml:space="preserve"> Pharmaceuticals</w:t>
            </w:r>
          </w:p>
        </w:tc>
      </w:tr>
      <w:tr w:rsidR="009C6540" w:rsidRPr="001762CB" w14:paraId="7535001C" w14:textId="77777777" w:rsidTr="004F2BD6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7159782D" w14:textId="155DE910" w:rsidR="009C6540" w:rsidRPr="00BE22C8" w:rsidRDefault="009C6540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9C6540">
              <w:rPr>
                <w:rFonts w:ascii="Palatino Linotype" w:hAnsi="Palatino Linotype" w:cs="Goudy-Bold"/>
                <w:bCs/>
                <w:sz w:val="24"/>
              </w:rPr>
              <w:t>Jane R. Schwebke, MD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31982303" w14:textId="77777777" w:rsidR="009C6540" w:rsidRPr="009C6540" w:rsidRDefault="009C6540" w:rsidP="009C6540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9C6540">
              <w:rPr>
                <w:rFonts w:ascii="Palatino Linotype" w:hAnsi="Palatino Linotype" w:cs="Goudy-Bold"/>
                <w:b/>
                <w:bCs/>
                <w:sz w:val="24"/>
              </w:rPr>
              <w:t xml:space="preserve">Consulting Fees: </w:t>
            </w:r>
            <w:r w:rsidRPr="009C6540">
              <w:rPr>
                <w:rFonts w:ascii="Palatino Linotype" w:hAnsi="Palatino Linotype" w:cs="Goudy-Bold"/>
                <w:sz w:val="24"/>
              </w:rPr>
              <w:t>Hologic, Talis</w:t>
            </w:r>
          </w:p>
          <w:p w14:paraId="3483F40C" w14:textId="77777777" w:rsidR="009C6540" w:rsidRPr="009C6540" w:rsidRDefault="009C6540" w:rsidP="009C6540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sz w:val="24"/>
              </w:rPr>
            </w:pPr>
            <w:r w:rsidRPr="009C6540">
              <w:rPr>
                <w:rFonts w:ascii="Palatino Linotype" w:hAnsi="Palatino Linotype" w:cs="Goudy-Bold"/>
                <w:b/>
                <w:bCs/>
                <w:sz w:val="24"/>
              </w:rPr>
              <w:t xml:space="preserve">Contracted Research: </w:t>
            </w:r>
            <w:r w:rsidRPr="009C6540">
              <w:rPr>
                <w:rFonts w:ascii="Palatino Linotype" w:hAnsi="Palatino Linotype" w:cs="Goudy-Bold"/>
                <w:sz w:val="24"/>
              </w:rPr>
              <w:t xml:space="preserve">BD Diagnostics, Hologic, Lupin, </w:t>
            </w:r>
            <w:proofErr w:type="spellStart"/>
            <w:r w:rsidRPr="009C6540">
              <w:rPr>
                <w:rFonts w:ascii="Palatino Linotype" w:hAnsi="Palatino Linotype" w:cs="Goudy-Bold"/>
                <w:sz w:val="24"/>
              </w:rPr>
              <w:t>Mycovia</w:t>
            </w:r>
            <w:proofErr w:type="spellEnd"/>
            <w:r w:rsidRPr="009C6540">
              <w:rPr>
                <w:rFonts w:ascii="Palatino Linotype" w:hAnsi="Palatino Linotype" w:cs="Goudy-Bold"/>
                <w:sz w:val="24"/>
              </w:rPr>
              <w:t xml:space="preserve"> Pharmaceuticals, </w:t>
            </w:r>
            <w:proofErr w:type="spellStart"/>
            <w:r w:rsidRPr="009C6540">
              <w:rPr>
                <w:rFonts w:ascii="Palatino Linotype" w:hAnsi="Palatino Linotype" w:cs="Goudy-Bold"/>
                <w:sz w:val="24"/>
              </w:rPr>
              <w:t>Synexis</w:t>
            </w:r>
            <w:proofErr w:type="spellEnd"/>
          </w:p>
          <w:p w14:paraId="10645C48" w14:textId="45362E8D" w:rsidR="009C6540" w:rsidRPr="009F5141" w:rsidRDefault="009C6540" w:rsidP="009C6540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9C6540">
              <w:rPr>
                <w:rFonts w:ascii="Palatino Linotype" w:hAnsi="Palatino Linotype" w:cs="Goudy-Bold"/>
                <w:b/>
                <w:bCs/>
                <w:sz w:val="24"/>
              </w:rPr>
              <w:t xml:space="preserve">Ownership Interest: </w:t>
            </w:r>
            <w:r w:rsidRPr="009C6540">
              <w:rPr>
                <w:rFonts w:ascii="Palatino Linotype" w:hAnsi="Palatino Linotype" w:cs="Goudy-Bold"/>
                <w:sz w:val="24"/>
              </w:rPr>
              <w:t>Talis</w:t>
            </w:r>
          </w:p>
        </w:tc>
      </w:tr>
      <w:tr w:rsidR="00BE22C8" w:rsidRPr="001762CB" w14:paraId="3D321532" w14:textId="77777777" w:rsidTr="004F2BD6">
        <w:tc>
          <w:tcPr>
            <w:tcW w:w="4428" w:type="dxa"/>
            <w:tcBorders>
              <w:top w:val="single" w:sz="4" w:space="0" w:color="auto"/>
            </w:tcBorders>
          </w:tcPr>
          <w:p w14:paraId="18354B31" w14:textId="2F3601C6" w:rsidR="00BE22C8" w:rsidRPr="00B177E0" w:rsidRDefault="00242C23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B177E0">
              <w:rPr>
                <w:rFonts w:ascii="Palatino Linotype" w:hAnsi="Palatino Linotype" w:cs="Goudy-Bold"/>
                <w:bCs/>
                <w:sz w:val="24"/>
              </w:rPr>
              <w:t>Jack D</w:t>
            </w:r>
            <w:r w:rsidR="00B177E0" w:rsidRPr="00B177E0">
              <w:rPr>
                <w:rFonts w:ascii="Palatino Linotype" w:hAnsi="Palatino Linotype" w:cs="Goudy-Bold"/>
                <w:bCs/>
                <w:sz w:val="24"/>
              </w:rPr>
              <w:t>.</w:t>
            </w:r>
            <w:r w:rsidRPr="00B177E0">
              <w:rPr>
                <w:rFonts w:ascii="Palatino Linotype" w:hAnsi="Palatino Linotype" w:cs="Goudy-Bold"/>
                <w:bCs/>
                <w:sz w:val="24"/>
              </w:rPr>
              <w:t xml:space="preserve"> Sobel, MD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4F925E22" w14:textId="3FBD6876" w:rsidR="00BE22C8" w:rsidRPr="00ED7567" w:rsidRDefault="00B177E0" w:rsidP="00ED7567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B177E0">
              <w:rPr>
                <w:rFonts w:ascii="Palatino Linotype" w:hAnsi="Palatino Linotype" w:cs="Goudy-Bold"/>
                <w:b/>
                <w:bCs/>
                <w:sz w:val="24"/>
              </w:rPr>
              <w:t xml:space="preserve">Consulting Fees: </w:t>
            </w:r>
            <w:proofErr w:type="spellStart"/>
            <w:r w:rsidRPr="00B177E0">
              <w:rPr>
                <w:rFonts w:ascii="Palatino Linotype" w:hAnsi="Palatino Linotype" w:cs="Goudy-Bold"/>
                <w:sz w:val="24"/>
              </w:rPr>
              <w:t>Mycovia</w:t>
            </w:r>
            <w:proofErr w:type="spellEnd"/>
            <w:r w:rsidRPr="00B177E0">
              <w:rPr>
                <w:rFonts w:ascii="Palatino Linotype" w:hAnsi="Palatino Linotype" w:cs="Goudy-Bold"/>
                <w:sz w:val="24"/>
              </w:rPr>
              <w:t xml:space="preserve"> Pharmaceuticals, SCYNEXIS</w:t>
            </w:r>
            <w:r w:rsidRPr="00B177E0">
              <w:rPr>
                <w:rFonts w:ascii="Palatino Linotype" w:hAnsi="Palatino Linotype" w:cs="Goudy-Bold"/>
                <w:b/>
                <w:bCs/>
                <w:sz w:val="24"/>
              </w:rPr>
              <w:br/>
              <w:t xml:space="preserve">Royalty: </w:t>
            </w:r>
            <w:proofErr w:type="gramStart"/>
            <w:r w:rsidRPr="00B177E0">
              <w:rPr>
                <w:rFonts w:ascii="Palatino Linotype" w:hAnsi="Palatino Linotype" w:cs="Goudy-Bold"/>
                <w:sz w:val="24"/>
              </w:rPr>
              <w:t>Up-To-Date</w:t>
            </w:r>
            <w:proofErr w:type="gramEnd"/>
          </w:p>
        </w:tc>
      </w:tr>
      <w:bookmarkEnd w:id="0"/>
      <w:tr w:rsidR="000423FB" w:rsidRPr="001762CB" w14:paraId="5AE3A6A7" w14:textId="77777777" w:rsidTr="00260A66">
        <w:tc>
          <w:tcPr>
            <w:tcW w:w="4428" w:type="dxa"/>
          </w:tcPr>
          <w:p w14:paraId="668CC4ED" w14:textId="166A473D" w:rsidR="000423FB" w:rsidRPr="00B177E0" w:rsidRDefault="00242C23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proofErr w:type="spellStart"/>
            <w:r w:rsidRPr="00B177E0">
              <w:rPr>
                <w:rFonts w:ascii="Palatino Linotype" w:hAnsi="Palatino Linotype" w:cs="Goudy-Bold"/>
                <w:bCs/>
                <w:sz w:val="24"/>
              </w:rPr>
              <w:t>Sateria</w:t>
            </w:r>
            <w:proofErr w:type="spellEnd"/>
            <w:r w:rsidRPr="00B177E0">
              <w:rPr>
                <w:rFonts w:ascii="Palatino Linotype" w:hAnsi="Palatino Linotype" w:cs="Goudy-Bold"/>
                <w:bCs/>
                <w:sz w:val="24"/>
              </w:rPr>
              <w:t xml:space="preserve"> Venable</w:t>
            </w:r>
          </w:p>
        </w:tc>
        <w:tc>
          <w:tcPr>
            <w:tcW w:w="5220" w:type="dxa"/>
          </w:tcPr>
          <w:p w14:paraId="416BAD49" w14:textId="5D79A8D3" w:rsidR="000423FB" w:rsidRPr="00A67842" w:rsidRDefault="00B177E0" w:rsidP="00ED7567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B177E0">
              <w:rPr>
                <w:rFonts w:ascii="Palatino Linotype" w:hAnsi="Palatino Linotype" w:cs="Goudy-Bold"/>
                <w:bCs/>
                <w:sz w:val="24"/>
              </w:rPr>
              <w:t>No relationship reported</w:t>
            </w:r>
          </w:p>
        </w:tc>
      </w:tr>
      <w:tr w:rsidR="00242C23" w:rsidRPr="001762CB" w14:paraId="4CEA9987" w14:textId="77777777" w:rsidTr="00260A66">
        <w:tc>
          <w:tcPr>
            <w:tcW w:w="4428" w:type="dxa"/>
          </w:tcPr>
          <w:p w14:paraId="14608DC8" w14:textId="148F4FCF" w:rsidR="00242C23" w:rsidRDefault="00242C23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>
              <w:rPr>
                <w:rFonts w:ascii="Palatino Linotype" w:hAnsi="Palatino Linotype" w:cs="Goudy-Bold"/>
                <w:bCs/>
                <w:sz w:val="24"/>
              </w:rPr>
              <w:t>Thomas C. Wright, Jr, MD</w:t>
            </w:r>
          </w:p>
        </w:tc>
        <w:tc>
          <w:tcPr>
            <w:tcW w:w="5220" w:type="dxa"/>
          </w:tcPr>
          <w:p w14:paraId="572BF88A" w14:textId="1F4E807E" w:rsidR="00242C23" w:rsidRPr="00B177E0" w:rsidRDefault="0085644D" w:rsidP="00B177E0">
            <w:pPr>
              <w:rPr>
                <w:rFonts w:ascii="Palatino Linotype" w:hAnsi="Palatino Linotype" w:cs="Arial"/>
                <w:sz w:val="24"/>
                <w:szCs w:val="24"/>
              </w:rPr>
            </w:pPr>
            <w:r w:rsidRPr="0085644D">
              <w:rPr>
                <w:rFonts w:ascii="Palatino Linotype" w:hAnsi="Palatino Linotype" w:cs="Arial"/>
                <w:b/>
                <w:bCs/>
                <w:sz w:val="24"/>
                <w:szCs w:val="24"/>
              </w:rPr>
              <w:t>Consulting Fees:</w:t>
            </w:r>
            <w:r w:rsidRPr="0085644D">
              <w:rPr>
                <w:rFonts w:ascii="Palatino Linotype" w:hAnsi="Palatino Linotype" w:cs="Arial"/>
                <w:sz w:val="24"/>
                <w:szCs w:val="24"/>
              </w:rPr>
              <w:t xml:space="preserve"> BD, </w:t>
            </w:r>
            <w:proofErr w:type="spellStart"/>
            <w:r w:rsidRPr="0085644D">
              <w:rPr>
                <w:rFonts w:ascii="Palatino Linotype" w:hAnsi="Palatino Linotype" w:cs="Arial"/>
                <w:sz w:val="24"/>
                <w:szCs w:val="24"/>
              </w:rPr>
              <w:t>Inovio</w:t>
            </w:r>
            <w:proofErr w:type="spellEnd"/>
            <w:r w:rsidRPr="0085644D">
              <w:rPr>
                <w:rFonts w:ascii="Palatino Linotype" w:hAnsi="Palatino Linotype" w:cs="Arial"/>
                <w:sz w:val="24"/>
                <w:szCs w:val="24"/>
              </w:rPr>
              <w:t>, Roche Diagnostics</w:t>
            </w:r>
          </w:p>
        </w:tc>
      </w:tr>
    </w:tbl>
    <w:p w14:paraId="76406635" w14:textId="5793E770" w:rsidR="00531905" w:rsidRDefault="00377FA9" w:rsidP="00377FA9">
      <w:pPr>
        <w:widowControl w:val="0"/>
        <w:autoSpaceDE w:val="0"/>
        <w:autoSpaceDN w:val="0"/>
        <w:adjustRightInd w:val="0"/>
        <w:rPr>
          <w:rFonts w:ascii="Palatino Linotype" w:hAnsi="Palatino Linotype" w:cs="Goudy-Bold"/>
          <w:b/>
          <w:bCs/>
          <w:sz w:val="24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084767C0" w14:textId="58E5782E" w:rsidR="00377FA9" w:rsidRPr="00BF1BF7" w:rsidRDefault="00377FA9" w:rsidP="00377FA9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177E0">
        <w:rPr>
          <w:rFonts w:ascii="Palatino Linotype" w:hAnsi="Palatino Linotype" w:cs="Goudy-Bold"/>
          <w:b/>
          <w:bCs/>
          <w:sz w:val="24"/>
        </w:rPr>
        <w:t>Reviewers/Planners/Authors:</w:t>
      </w:r>
      <w:r w:rsidR="00CF2EF3">
        <w:rPr>
          <w:rFonts w:ascii="Palatino Linotype" w:hAnsi="Palatino Linotype" w:cs="Goudy-Bold"/>
          <w:b/>
          <w:bCs/>
          <w:sz w:val="24"/>
        </w:rPr>
        <w:br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220"/>
      </w:tblGrid>
      <w:tr w:rsidR="00550435" w:rsidRPr="001762CB" w14:paraId="079B7C9F" w14:textId="77777777" w:rsidTr="00550435">
        <w:tc>
          <w:tcPr>
            <w:tcW w:w="4428" w:type="dxa"/>
          </w:tcPr>
          <w:p w14:paraId="3663E833" w14:textId="77777777" w:rsidR="00550435" w:rsidRPr="00112B2D" w:rsidRDefault="00550435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i/>
                <w:sz w:val="24"/>
                <w:highlight w:val="yellow"/>
              </w:rPr>
            </w:pPr>
            <w:r w:rsidRPr="00112B2D">
              <w:rPr>
                <w:rFonts w:ascii="Palatino Linotype" w:hAnsi="Palatino Linotype" w:cs="Goudy-Bold"/>
                <w:b/>
                <w:bCs/>
                <w:i/>
                <w:sz w:val="24"/>
              </w:rPr>
              <w:t>Name of Reviewer/Planner/Author</w:t>
            </w:r>
          </w:p>
        </w:tc>
        <w:tc>
          <w:tcPr>
            <w:tcW w:w="5220" w:type="dxa"/>
          </w:tcPr>
          <w:p w14:paraId="31CFAFE4" w14:textId="77777777" w:rsidR="00550435" w:rsidRPr="00112B2D" w:rsidRDefault="00550435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i/>
                <w:sz w:val="24"/>
              </w:rPr>
            </w:pPr>
            <w:r w:rsidRPr="00112B2D">
              <w:rPr>
                <w:rFonts w:ascii="Palatino Linotype" w:hAnsi="Palatino Linotype" w:cs="Goudy-Bold"/>
                <w:b/>
                <w:bCs/>
                <w:i/>
                <w:sz w:val="24"/>
              </w:rPr>
              <w:t>Reported Areas of Conflict</w:t>
            </w:r>
          </w:p>
        </w:tc>
      </w:tr>
      <w:tr w:rsidR="00550435" w:rsidRPr="001762CB" w14:paraId="54D3D02F" w14:textId="77777777" w:rsidTr="00550435">
        <w:tc>
          <w:tcPr>
            <w:tcW w:w="4428" w:type="dxa"/>
          </w:tcPr>
          <w:p w14:paraId="6A713A18" w14:textId="3E32287C" w:rsidR="00550435" w:rsidRPr="001762CB" w:rsidRDefault="00580CD7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  <w:highlight w:val="yellow"/>
              </w:rPr>
            </w:pPr>
            <w:r>
              <w:rPr>
                <w:rFonts w:ascii="Palatino Linotype" w:hAnsi="Palatino Linotype" w:cs="Goudy-Bold"/>
                <w:bCs/>
                <w:sz w:val="24"/>
              </w:rPr>
              <w:t>Cathy Aubel</w:t>
            </w:r>
          </w:p>
        </w:tc>
        <w:tc>
          <w:tcPr>
            <w:tcW w:w="5220" w:type="dxa"/>
          </w:tcPr>
          <w:p w14:paraId="14CE9917" w14:textId="77777777" w:rsidR="00550435" w:rsidRPr="001762CB" w:rsidRDefault="00550435" w:rsidP="00260A66">
            <w:pPr>
              <w:rPr>
                <w:rFonts w:ascii="Palatino Linotype" w:hAnsi="Palatino Linotype" w:cs="Goudy-Bold"/>
                <w:bCs/>
                <w:sz w:val="24"/>
              </w:rPr>
            </w:pPr>
            <w:r w:rsidRPr="00764FA1">
              <w:rPr>
                <w:rFonts w:ascii="Palatino Linotype" w:hAnsi="Palatino Linotype" w:cs="Goudy-Bold"/>
                <w:bCs/>
                <w:sz w:val="24"/>
              </w:rPr>
              <w:t>No relationship reported</w:t>
            </w:r>
          </w:p>
        </w:tc>
      </w:tr>
      <w:tr w:rsidR="00580CD7" w:rsidRPr="001762CB" w14:paraId="3A8C2EA4" w14:textId="77777777" w:rsidTr="00550435">
        <w:tc>
          <w:tcPr>
            <w:tcW w:w="4428" w:type="dxa"/>
          </w:tcPr>
          <w:p w14:paraId="67288DBD" w14:textId="7CB76257" w:rsidR="00580CD7" w:rsidRPr="00703F39" w:rsidRDefault="00580CD7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580CD7">
              <w:rPr>
                <w:rFonts w:ascii="Palatino Linotype" w:hAnsi="Palatino Linotype" w:cs="Goudy-Bold"/>
                <w:bCs/>
                <w:sz w:val="24"/>
              </w:rPr>
              <w:t>Sean T. Barrett</w:t>
            </w:r>
          </w:p>
        </w:tc>
        <w:tc>
          <w:tcPr>
            <w:tcW w:w="5220" w:type="dxa"/>
          </w:tcPr>
          <w:p w14:paraId="19D27982" w14:textId="062559D5" w:rsidR="00580CD7" w:rsidRPr="00764FA1" w:rsidRDefault="00580CD7" w:rsidP="00260A66">
            <w:pPr>
              <w:rPr>
                <w:rFonts w:ascii="Palatino Linotype" w:hAnsi="Palatino Linotype" w:cs="Goudy-Bold"/>
                <w:bCs/>
                <w:sz w:val="24"/>
              </w:rPr>
            </w:pPr>
            <w:r w:rsidRPr="00580CD7">
              <w:rPr>
                <w:rFonts w:ascii="Palatino Linotype" w:hAnsi="Palatino Linotype" w:cs="Goudy-Bold"/>
                <w:bCs/>
                <w:sz w:val="24"/>
              </w:rPr>
              <w:t>No relationship reported</w:t>
            </w:r>
          </w:p>
        </w:tc>
      </w:tr>
      <w:tr w:rsidR="00302E02" w:rsidRPr="001762CB" w14:paraId="4B40391C" w14:textId="77777777" w:rsidTr="00550435">
        <w:tc>
          <w:tcPr>
            <w:tcW w:w="4428" w:type="dxa"/>
          </w:tcPr>
          <w:p w14:paraId="5FB51BDC" w14:textId="78D12EBD" w:rsidR="00302E02" w:rsidRPr="00703F39" w:rsidRDefault="00302E02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302E02">
              <w:rPr>
                <w:rFonts w:ascii="Palatino Linotype" w:hAnsi="Palatino Linotype" w:cs="Goudy-Bold"/>
                <w:bCs/>
                <w:sz w:val="24"/>
              </w:rPr>
              <w:t>Eliot Brinton, MD, FAHA, FNLA</w:t>
            </w:r>
          </w:p>
        </w:tc>
        <w:tc>
          <w:tcPr>
            <w:tcW w:w="5220" w:type="dxa"/>
          </w:tcPr>
          <w:p w14:paraId="05713B45" w14:textId="77777777" w:rsidR="00302E02" w:rsidRPr="00302E02" w:rsidRDefault="00302E02" w:rsidP="00302E02">
            <w:pPr>
              <w:rPr>
                <w:rFonts w:ascii="Palatino Linotype" w:hAnsi="Palatino Linotype" w:cs="Goudy-Bold"/>
                <w:bCs/>
                <w:sz w:val="24"/>
              </w:rPr>
            </w:pPr>
            <w:r w:rsidRPr="00302E02">
              <w:rPr>
                <w:rFonts w:ascii="Palatino Linotype" w:hAnsi="Palatino Linotype" w:cs="Goudy-Bold"/>
                <w:b/>
                <w:sz w:val="24"/>
              </w:rPr>
              <w:t>Consulting Fees:</w:t>
            </w:r>
            <w:r w:rsidRPr="00302E02">
              <w:rPr>
                <w:rFonts w:ascii="Palatino Linotype" w:hAnsi="Palatino Linotype" w:cs="Goudy-Bold"/>
                <w:bCs/>
                <w:sz w:val="24"/>
              </w:rPr>
              <w:t xml:space="preserve"> </w:t>
            </w:r>
            <w:proofErr w:type="spellStart"/>
            <w:r w:rsidRPr="00302E02">
              <w:rPr>
                <w:rFonts w:ascii="Palatino Linotype" w:hAnsi="Palatino Linotype" w:cs="Goudy-Bold"/>
                <w:bCs/>
                <w:sz w:val="24"/>
              </w:rPr>
              <w:t>Amarin</w:t>
            </w:r>
            <w:proofErr w:type="spellEnd"/>
            <w:r w:rsidRPr="00302E02">
              <w:rPr>
                <w:rFonts w:ascii="Palatino Linotype" w:hAnsi="Palatino Linotype" w:cs="Goudy-Bold"/>
                <w:bCs/>
                <w:sz w:val="24"/>
              </w:rPr>
              <w:t>, Esperion, Kowa</w:t>
            </w:r>
          </w:p>
          <w:p w14:paraId="41FABD62" w14:textId="63FB836E" w:rsidR="00302E02" w:rsidRPr="00764FA1" w:rsidRDefault="00302E02" w:rsidP="00302E02">
            <w:pPr>
              <w:rPr>
                <w:rFonts w:ascii="Palatino Linotype" w:hAnsi="Palatino Linotype" w:cs="Goudy-Bold"/>
                <w:bCs/>
                <w:sz w:val="24"/>
              </w:rPr>
            </w:pPr>
            <w:r w:rsidRPr="00302E02">
              <w:rPr>
                <w:rFonts w:ascii="Palatino Linotype" w:hAnsi="Palatino Linotype" w:cs="Goudy-Bold"/>
                <w:b/>
                <w:sz w:val="24"/>
              </w:rPr>
              <w:t>Commercial Interest Speakers Bureau:</w:t>
            </w:r>
            <w:r w:rsidRPr="00302E02">
              <w:rPr>
                <w:rFonts w:ascii="Palatino Linotype" w:hAnsi="Palatino Linotype" w:cs="Goudy-Bold"/>
                <w:bCs/>
                <w:sz w:val="24"/>
              </w:rPr>
              <w:t xml:space="preserve"> </w:t>
            </w:r>
            <w:proofErr w:type="spellStart"/>
            <w:r w:rsidRPr="00302E02">
              <w:rPr>
                <w:rFonts w:ascii="Palatino Linotype" w:hAnsi="Palatino Linotype" w:cs="Goudy-Bold"/>
                <w:bCs/>
                <w:sz w:val="24"/>
              </w:rPr>
              <w:t>Amarin</w:t>
            </w:r>
            <w:proofErr w:type="spellEnd"/>
            <w:r w:rsidRPr="00302E02">
              <w:rPr>
                <w:rFonts w:ascii="Palatino Linotype" w:hAnsi="Palatino Linotype" w:cs="Goudy-Bold"/>
                <w:bCs/>
                <w:sz w:val="24"/>
              </w:rPr>
              <w:t>, Amgen, Boehringer, Kowa, Merck, Nova, Regeneron, Sanofi</w:t>
            </w:r>
          </w:p>
        </w:tc>
      </w:tr>
      <w:tr w:rsidR="000423FB" w:rsidRPr="001762CB" w14:paraId="0A28BEFF" w14:textId="77777777" w:rsidTr="00550435">
        <w:tc>
          <w:tcPr>
            <w:tcW w:w="4428" w:type="dxa"/>
          </w:tcPr>
          <w:p w14:paraId="32B547CC" w14:textId="58C52AD5" w:rsidR="000423FB" w:rsidRDefault="000423FB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>
              <w:rPr>
                <w:rFonts w:ascii="Palatino Linotype" w:hAnsi="Palatino Linotype" w:cs="Goudy-Bold"/>
                <w:bCs/>
                <w:sz w:val="24"/>
              </w:rPr>
              <w:t>Ben Caref, PhD</w:t>
            </w:r>
          </w:p>
        </w:tc>
        <w:tc>
          <w:tcPr>
            <w:tcW w:w="5220" w:type="dxa"/>
          </w:tcPr>
          <w:p w14:paraId="6F903406" w14:textId="6AE36C7F" w:rsidR="000423FB" w:rsidRPr="008D7313" w:rsidRDefault="00ED7567" w:rsidP="00260A66">
            <w:pPr>
              <w:rPr>
                <w:rFonts w:ascii="Palatino Linotype" w:hAnsi="Palatino Linotype" w:cs="Goudy-Bold"/>
                <w:bCs/>
                <w:sz w:val="24"/>
              </w:rPr>
            </w:pPr>
            <w:r w:rsidRPr="007F4851">
              <w:rPr>
                <w:rFonts w:ascii="Palatino Linotype" w:hAnsi="Palatino Linotype" w:cs="Goudy-Bold"/>
                <w:bCs/>
                <w:sz w:val="24"/>
              </w:rPr>
              <w:t>No relationship reported</w:t>
            </w:r>
          </w:p>
        </w:tc>
      </w:tr>
      <w:tr w:rsidR="00CB5D73" w:rsidRPr="001762CB" w14:paraId="50A4833C" w14:textId="77777777" w:rsidTr="00550435">
        <w:tc>
          <w:tcPr>
            <w:tcW w:w="4428" w:type="dxa"/>
          </w:tcPr>
          <w:p w14:paraId="5EAD1C99" w14:textId="0841FAC0" w:rsidR="00CB5D73" w:rsidRDefault="00CB5D73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>
              <w:rPr>
                <w:rFonts w:ascii="Palatino Linotype" w:hAnsi="Palatino Linotype" w:cs="Goudy-Bold"/>
                <w:bCs/>
                <w:sz w:val="24"/>
              </w:rPr>
              <w:t>Stephen Chavez</w:t>
            </w:r>
          </w:p>
        </w:tc>
        <w:tc>
          <w:tcPr>
            <w:tcW w:w="5220" w:type="dxa"/>
          </w:tcPr>
          <w:p w14:paraId="322F0376" w14:textId="5950782C" w:rsidR="00CB5D73" w:rsidRPr="008D7313" w:rsidRDefault="00CB5D73" w:rsidP="00260A66">
            <w:pPr>
              <w:rPr>
                <w:rFonts w:ascii="Palatino Linotype" w:hAnsi="Palatino Linotype" w:cs="Goudy-Bold"/>
                <w:bCs/>
                <w:sz w:val="24"/>
              </w:rPr>
            </w:pPr>
            <w:r w:rsidRPr="008D7313">
              <w:rPr>
                <w:rFonts w:ascii="Palatino Linotype" w:hAnsi="Palatino Linotype" w:cs="Goudy-Bold"/>
                <w:bCs/>
                <w:sz w:val="24"/>
              </w:rPr>
              <w:t>No relationship reported</w:t>
            </w:r>
          </w:p>
        </w:tc>
      </w:tr>
      <w:tr w:rsidR="00CB5D73" w:rsidRPr="001762CB" w14:paraId="305502AA" w14:textId="77777777" w:rsidTr="00550435">
        <w:tc>
          <w:tcPr>
            <w:tcW w:w="4428" w:type="dxa"/>
          </w:tcPr>
          <w:p w14:paraId="0BA71309" w14:textId="03692A61" w:rsidR="00CB5D73" w:rsidRDefault="00CB5D73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CB5D73">
              <w:rPr>
                <w:rFonts w:ascii="Palatino Linotype" w:hAnsi="Palatino Linotype" w:cs="Goudy-Bold"/>
                <w:bCs/>
                <w:sz w:val="24"/>
              </w:rPr>
              <w:t>Stephen M. Cohen, MD, FACOG</w:t>
            </w:r>
          </w:p>
        </w:tc>
        <w:tc>
          <w:tcPr>
            <w:tcW w:w="5220" w:type="dxa"/>
          </w:tcPr>
          <w:p w14:paraId="2391ED9A" w14:textId="7550140C" w:rsidR="00CB5D73" w:rsidRPr="000423FB" w:rsidRDefault="008276A0" w:rsidP="00260A66">
            <w:pPr>
              <w:rPr>
                <w:rFonts w:ascii="Palatino Linotype" w:hAnsi="Palatino Linotype" w:cs="Goudy-Bold"/>
                <w:bCs/>
                <w:sz w:val="24"/>
                <w:highlight w:val="yellow"/>
              </w:rPr>
            </w:pPr>
            <w:r w:rsidRPr="008276A0">
              <w:rPr>
                <w:rFonts w:ascii="Palatino Linotype" w:hAnsi="Palatino Linotype" w:cs="Goudy-Bold"/>
                <w:b/>
                <w:bCs/>
                <w:sz w:val="24"/>
              </w:rPr>
              <w:t xml:space="preserve">Consulting Fees: </w:t>
            </w:r>
            <w:r w:rsidRPr="008276A0">
              <w:rPr>
                <w:rFonts w:ascii="Palatino Linotype" w:hAnsi="Palatino Linotype" w:cs="Goudy-Bold"/>
                <w:sz w:val="24"/>
              </w:rPr>
              <w:t>AbbVie</w:t>
            </w:r>
            <w:r w:rsidRPr="008276A0">
              <w:rPr>
                <w:rFonts w:ascii="Palatino Linotype" w:hAnsi="Palatino Linotype" w:cs="Goudy-Bold"/>
                <w:b/>
                <w:bCs/>
                <w:sz w:val="24"/>
              </w:rPr>
              <w:t xml:space="preserve">                            </w:t>
            </w:r>
          </w:p>
        </w:tc>
      </w:tr>
      <w:tr w:rsidR="007F4851" w:rsidRPr="001762CB" w14:paraId="411582A8" w14:textId="77777777" w:rsidTr="00550435">
        <w:tc>
          <w:tcPr>
            <w:tcW w:w="4428" w:type="dxa"/>
          </w:tcPr>
          <w:p w14:paraId="0417FBD3" w14:textId="2D5EAC2D" w:rsidR="007F4851" w:rsidRPr="00CB5D73" w:rsidRDefault="007F4851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>
              <w:rPr>
                <w:rFonts w:ascii="Palatino Linotype" w:hAnsi="Palatino Linotype" w:cs="Goudy-Bold"/>
                <w:bCs/>
                <w:sz w:val="24"/>
              </w:rPr>
              <w:t>Barry A. Fiedel, PhD</w:t>
            </w:r>
          </w:p>
        </w:tc>
        <w:tc>
          <w:tcPr>
            <w:tcW w:w="5220" w:type="dxa"/>
          </w:tcPr>
          <w:p w14:paraId="27249283" w14:textId="24001829" w:rsidR="007F4851" w:rsidRPr="000423FB" w:rsidRDefault="007F4851" w:rsidP="00260A66">
            <w:pPr>
              <w:rPr>
                <w:rFonts w:ascii="Palatino Linotype" w:hAnsi="Palatino Linotype" w:cs="Goudy-Bold"/>
                <w:b/>
                <w:bCs/>
                <w:sz w:val="24"/>
                <w:highlight w:val="yellow"/>
              </w:rPr>
            </w:pPr>
            <w:r w:rsidRPr="00CF2EF3">
              <w:rPr>
                <w:rFonts w:ascii="Palatino Linotype" w:hAnsi="Palatino Linotype" w:cs="Goudy-Bold"/>
                <w:bCs/>
                <w:sz w:val="24"/>
              </w:rPr>
              <w:t>No relationship reported</w:t>
            </w:r>
          </w:p>
        </w:tc>
      </w:tr>
      <w:tr w:rsidR="007F4851" w:rsidRPr="001762CB" w14:paraId="2BA3BF56" w14:textId="77777777" w:rsidTr="00FC46B8">
        <w:tc>
          <w:tcPr>
            <w:tcW w:w="4428" w:type="dxa"/>
            <w:tcBorders>
              <w:bottom w:val="single" w:sz="4" w:space="0" w:color="auto"/>
            </w:tcBorders>
          </w:tcPr>
          <w:p w14:paraId="2F0BDD91" w14:textId="048F2053" w:rsidR="007F4851" w:rsidRPr="00302E02" w:rsidRDefault="007F4851" w:rsidP="00260A66">
            <w:pPr>
              <w:autoSpaceDE w:val="0"/>
              <w:autoSpaceDN w:val="0"/>
              <w:adjustRightInd w:val="0"/>
              <w:rPr>
                <w:rFonts w:ascii="Palatino Linotype" w:hAnsi="Palatino Linotype"/>
                <w:bCs/>
                <w:sz w:val="24"/>
              </w:rPr>
            </w:pPr>
            <w:r>
              <w:rPr>
                <w:rFonts w:ascii="Palatino Linotype" w:hAnsi="Palatino Linotype"/>
                <w:bCs/>
                <w:sz w:val="24"/>
              </w:rPr>
              <w:t>Sue Grossman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53FCCE1" w14:textId="090CC049" w:rsidR="007F4851" w:rsidRPr="007F4851" w:rsidRDefault="007F4851" w:rsidP="00260A66">
            <w:pPr>
              <w:rPr>
                <w:rFonts w:ascii="Palatino Linotype" w:hAnsi="Palatino Linotype" w:cs="Goudy-Bold"/>
                <w:sz w:val="24"/>
              </w:rPr>
            </w:pPr>
            <w:r w:rsidRPr="007F4851">
              <w:rPr>
                <w:rFonts w:ascii="Palatino Linotype" w:hAnsi="Palatino Linotype" w:cs="Goudy-Bold"/>
                <w:sz w:val="24"/>
              </w:rPr>
              <w:t>No relationship reported</w:t>
            </w:r>
          </w:p>
        </w:tc>
      </w:tr>
      <w:tr w:rsidR="00550435" w:rsidRPr="001762CB" w14:paraId="3E3BCF6E" w14:textId="77777777" w:rsidTr="00FC46B8">
        <w:tc>
          <w:tcPr>
            <w:tcW w:w="4428" w:type="dxa"/>
            <w:tcBorders>
              <w:bottom w:val="single" w:sz="4" w:space="0" w:color="auto"/>
            </w:tcBorders>
          </w:tcPr>
          <w:p w14:paraId="77079FD0" w14:textId="77777777" w:rsidR="00550435" w:rsidRPr="00CF2EF3" w:rsidRDefault="00550435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CF2EF3">
              <w:rPr>
                <w:rFonts w:ascii="Palatino Linotype" w:hAnsi="Palatino Linotype" w:cs="Goudy-Bold"/>
                <w:bCs/>
                <w:sz w:val="24"/>
              </w:rPr>
              <w:lastRenderedPageBreak/>
              <w:t>Amanda Hilferty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A8AE9E4" w14:textId="77777777" w:rsidR="00550435" w:rsidRPr="00CF2EF3" w:rsidRDefault="00550435" w:rsidP="00260A66">
            <w:pPr>
              <w:rPr>
                <w:rFonts w:ascii="Palatino Linotype" w:hAnsi="Palatino Linotype" w:cs="Goudy-Bold"/>
                <w:bCs/>
                <w:sz w:val="24"/>
              </w:rPr>
            </w:pPr>
            <w:r w:rsidRPr="00CF2EF3">
              <w:rPr>
                <w:rFonts w:ascii="Palatino Linotype" w:hAnsi="Palatino Linotype" w:cs="Goudy-Bold"/>
                <w:bCs/>
                <w:sz w:val="24"/>
              </w:rPr>
              <w:t>No relationship reported</w:t>
            </w:r>
          </w:p>
        </w:tc>
      </w:tr>
      <w:tr w:rsidR="00B177E0" w:rsidRPr="001762CB" w14:paraId="582C33E2" w14:textId="77777777" w:rsidTr="00670A35">
        <w:tc>
          <w:tcPr>
            <w:tcW w:w="4428" w:type="dxa"/>
            <w:tcBorders>
              <w:bottom w:val="single" w:sz="4" w:space="0" w:color="auto"/>
            </w:tcBorders>
          </w:tcPr>
          <w:p w14:paraId="06A5C035" w14:textId="147512C7" w:rsidR="00B177E0" w:rsidRPr="007F4851" w:rsidRDefault="00B177E0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>
              <w:rPr>
                <w:rFonts w:ascii="Palatino Linotype" w:hAnsi="Palatino Linotype" w:cs="Goudy-Bold"/>
                <w:bCs/>
                <w:sz w:val="24"/>
              </w:rPr>
              <w:t>Elizabeth Lurwick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1FCB5FF0" w14:textId="6D90355D" w:rsidR="00B177E0" w:rsidRPr="00764FA1" w:rsidRDefault="00B177E0" w:rsidP="00260A66">
            <w:pPr>
              <w:rPr>
                <w:rFonts w:ascii="Palatino Linotype" w:hAnsi="Palatino Linotype" w:cs="Goudy-Bold"/>
                <w:bCs/>
                <w:sz w:val="24"/>
              </w:rPr>
            </w:pPr>
            <w:r w:rsidRPr="00B177E0">
              <w:rPr>
                <w:rFonts w:ascii="Palatino Linotype" w:hAnsi="Palatino Linotype" w:cs="Goudy-Bold"/>
                <w:bCs/>
                <w:sz w:val="24"/>
              </w:rPr>
              <w:t>No relationship reported</w:t>
            </w:r>
          </w:p>
        </w:tc>
      </w:tr>
      <w:tr w:rsidR="007F4851" w:rsidRPr="001762CB" w14:paraId="29B7C279" w14:textId="77777777" w:rsidTr="00670A35">
        <w:tc>
          <w:tcPr>
            <w:tcW w:w="4428" w:type="dxa"/>
            <w:tcBorders>
              <w:bottom w:val="single" w:sz="4" w:space="0" w:color="auto"/>
            </w:tcBorders>
          </w:tcPr>
          <w:p w14:paraId="26109F5B" w14:textId="58F51F32" w:rsidR="007F4851" w:rsidRDefault="007F4851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7F4851">
              <w:rPr>
                <w:rFonts w:ascii="Palatino Linotype" w:hAnsi="Palatino Linotype" w:cs="Goudy-Bold"/>
                <w:bCs/>
                <w:sz w:val="24"/>
              </w:rPr>
              <w:t>William Mencia, MD, FACEHP, CHCP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66BE3302" w14:textId="6BE4187A" w:rsidR="007F4851" w:rsidRPr="00764FA1" w:rsidRDefault="007F4851" w:rsidP="00260A66">
            <w:pPr>
              <w:rPr>
                <w:rFonts w:ascii="Palatino Linotype" w:hAnsi="Palatino Linotype" w:cs="Goudy-Bold"/>
                <w:bCs/>
                <w:sz w:val="24"/>
              </w:rPr>
            </w:pPr>
            <w:r w:rsidRPr="00764FA1">
              <w:rPr>
                <w:rFonts w:ascii="Palatino Linotype" w:hAnsi="Palatino Linotype" w:cs="Goudy-Bold"/>
                <w:bCs/>
                <w:sz w:val="24"/>
              </w:rPr>
              <w:t>No relationship reported</w:t>
            </w:r>
          </w:p>
        </w:tc>
      </w:tr>
      <w:tr w:rsidR="00D27D98" w:rsidRPr="001762CB" w14:paraId="6E755821" w14:textId="77777777" w:rsidTr="00670A35">
        <w:tc>
          <w:tcPr>
            <w:tcW w:w="4428" w:type="dxa"/>
            <w:tcBorders>
              <w:bottom w:val="single" w:sz="4" w:space="0" w:color="auto"/>
            </w:tcBorders>
          </w:tcPr>
          <w:p w14:paraId="0DF8DE4F" w14:textId="3E9D1BE8" w:rsidR="00D27D98" w:rsidRPr="007F4851" w:rsidRDefault="00D27D98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D27D98">
              <w:rPr>
                <w:rFonts w:ascii="Palatino Linotype" w:hAnsi="Palatino Linotype" w:cs="Goudy-Bold"/>
                <w:bCs/>
                <w:sz w:val="24"/>
              </w:rPr>
              <w:t>Erin D. Michos, MD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1F7534BF" w14:textId="0F762453" w:rsidR="00D27D98" w:rsidRPr="00764FA1" w:rsidRDefault="00D27D98" w:rsidP="00260A66">
            <w:pPr>
              <w:rPr>
                <w:rFonts w:ascii="Palatino Linotype" w:hAnsi="Palatino Linotype" w:cs="Goudy-Bold"/>
                <w:bCs/>
                <w:sz w:val="24"/>
              </w:rPr>
            </w:pPr>
            <w:r w:rsidRPr="00D27D98">
              <w:rPr>
                <w:rFonts w:ascii="Palatino Linotype" w:hAnsi="Palatino Linotype" w:cs="Goudy-Bold"/>
                <w:bCs/>
                <w:sz w:val="24"/>
              </w:rPr>
              <w:t>No relationship reported</w:t>
            </w:r>
          </w:p>
        </w:tc>
      </w:tr>
      <w:tr w:rsidR="00D27D98" w:rsidRPr="001762CB" w14:paraId="5EAE8637" w14:textId="77777777" w:rsidTr="00550435">
        <w:tc>
          <w:tcPr>
            <w:tcW w:w="4428" w:type="dxa"/>
          </w:tcPr>
          <w:p w14:paraId="102A41B9" w14:textId="4BBF1AE4" w:rsidR="00D27D98" w:rsidRPr="00DF6A9C" w:rsidRDefault="00D27D98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D27D98">
              <w:rPr>
                <w:rFonts w:ascii="Palatino Linotype" w:hAnsi="Palatino Linotype" w:cs="Goudy-Bold"/>
                <w:bCs/>
                <w:sz w:val="24"/>
              </w:rPr>
              <w:t>Anita L. Nelson, MD</w:t>
            </w:r>
          </w:p>
        </w:tc>
        <w:tc>
          <w:tcPr>
            <w:tcW w:w="5220" w:type="dxa"/>
          </w:tcPr>
          <w:p w14:paraId="7651A3AE" w14:textId="77777777" w:rsidR="00D27D98" w:rsidRPr="00D27D98" w:rsidRDefault="00D27D98" w:rsidP="00D27D98">
            <w:pPr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D27D98">
              <w:rPr>
                <w:rFonts w:ascii="Palatino Linotype" w:hAnsi="Palatino Linotype" w:cs="Goudy-Bold"/>
                <w:b/>
                <w:bCs/>
                <w:sz w:val="24"/>
              </w:rPr>
              <w:t xml:space="preserve">Grants/Research: </w:t>
            </w:r>
            <w:r w:rsidRPr="00D27D98">
              <w:rPr>
                <w:rFonts w:ascii="Palatino Linotype" w:hAnsi="Palatino Linotype" w:cs="Goudy-Bold"/>
                <w:sz w:val="24"/>
              </w:rPr>
              <w:t xml:space="preserve">Agile Pharmaceutical, </w:t>
            </w:r>
            <w:proofErr w:type="spellStart"/>
            <w:r w:rsidRPr="00D27D98">
              <w:rPr>
                <w:rFonts w:ascii="Palatino Linotype" w:hAnsi="Palatino Linotype" w:cs="Goudy-Bold"/>
                <w:sz w:val="24"/>
              </w:rPr>
              <w:t>Evofem</w:t>
            </w:r>
            <w:proofErr w:type="spellEnd"/>
            <w:r w:rsidRPr="00D27D98">
              <w:rPr>
                <w:rFonts w:ascii="Palatino Linotype" w:hAnsi="Palatino Linotype" w:cs="Goudy-Bold"/>
                <w:sz w:val="24"/>
              </w:rPr>
              <w:t xml:space="preserve">, Merck, </w:t>
            </w:r>
            <w:proofErr w:type="spellStart"/>
            <w:r w:rsidRPr="00D27D98">
              <w:rPr>
                <w:rFonts w:ascii="Palatino Linotype" w:hAnsi="Palatino Linotype" w:cs="Goudy-Bold"/>
                <w:sz w:val="24"/>
              </w:rPr>
              <w:t>Sebela</w:t>
            </w:r>
            <w:proofErr w:type="spellEnd"/>
            <w:r w:rsidRPr="00D27D98">
              <w:rPr>
                <w:rFonts w:ascii="Palatino Linotype" w:hAnsi="Palatino Linotype" w:cs="Goudy-Bold"/>
                <w:sz w:val="24"/>
              </w:rPr>
              <w:t xml:space="preserve"> Pharmaceutical</w:t>
            </w:r>
          </w:p>
          <w:p w14:paraId="350144CB" w14:textId="77777777" w:rsidR="00D27D98" w:rsidRPr="00D27D98" w:rsidRDefault="00D27D98" w:rsidP="00D27D98">
            <w:pPr>
              <w:rPr>
                <w:rFonts w:ascii="Palatino Linotype" w:hAnsi="Palatino Linotype" w:cs="Goudy-Bold"/>
                <w:sz w:val="24"/>
              </w:rPr>
            </w:pPr>
            <w:r w:rsidRPr="00D27D98">
              <w:rPr>
                <w:rFonts w:ascii="Palatino Linotype" w:hAnsi="Palatino Linotype" w:cs="Goudy-Bold"/>
                <w:b/>
                <w:bCs/>
                <w:sz w:val="24"/>
              </w:rPr>
              <w:t xml:space="preserve">Honoraria/Speakers Bureau: </w:t>
            </w:r>
            <w:r w:rsidRPr="00D27D98">
              <w:rPr>
                <w:rFonts w:ascii="Palatino Linotype" w:hAnsi="Palatino Linotype" w:cs="Goudy-Bold"/>
                <w:sz w:val="24"/>
              </w:rPr>
              <w:t xml:space="preserve">American Regent, Bayer HealthCare, Merck, </w:t>
            </w:r>
            <w:proofErr w:type="spellStart"/>
            <w:r w:rsidRPr="00D27D98">
              <w:rPr>
                <w:rFonts w:ascii="Palatino Linotype" w:hAnsi="Palatino Linotype" w:cs="Goudy-Bold"/>
                <w:sz w:val="24"/>
              </w:rPr>
              <w:t>TherapeuticsMD</w:t>
            </w:r>
            <w:proofErr w:type="spellEnd"/>
          </w:p>
          <w:p w14:paraId="40282209" w14:textId="0CB8FFE2" w:rsidR="00D27D98" w:rsidRPr="00B177E0" w:rsidRDefault="00D27D98" w:rsidP="00D27D98">
            <w:pPr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D27D98">
              <w:rPr>
                <w:rFonts w:ascii="Palatino Linotype" w:hAnsi="Palatino Linotype" w:cs="Goudy-Bold"/>
                <w:b/>
                <w:bCs/>
                <w:sz w:val="24"/>
              </w:rPr>
              <w:t xml:space="preserve">Consultant/Advisory Board: </w:t>
            </w:r>
            <w:r w:rsidRPr="00D27D98">
              <w:rPr>
                <w:rFonts w:ascii="Palatino Linotype" w:hAnsi="Palatino Linotype" w:cs="Goudy-Bold"/>
                <w:sz w:val="24"/>
              </w:rPr>
              <w:t xml:space="preserve">Agile Pharmaceutical, AMAG, American Regent, Bayer HealthCare, Merck, </w:t>
            </w:r>
            <w:proofErr w:type="spellStart"/>
            <w:r w:rsidRPr="00D27D98">
              <w:rPr>
                <w:rFonts w:ascii="Palatino Linotype" w:hAnsi="Palatino Linotype" w:cs="Goudy-Bold"/>
                <w:sz w:val="24"/>
              </w:rPr>
              <w:t>TherapeuticsMD</w:t>
            </w:r>
            <w:proofErr w:type="spellEnd"/>
          </w:p>
        </w:tc>
      </w:tr>
      <w:tr w:rsidR="00CB5D73" w:rsidRPr="001762CB" w14:paraId="18BC6009" w14:textId="77777777" w:rsidTr="00550435">
        <w:tc>
          <w:tcPr>
            <w:tcW w:w="4428" w:type="dxa"/>
          </w:tcPr>
          <w:p w14:paraId="143C441D" w14:textId="26964D3F" w:rsidR="00CB5D73" w:rsidRDefault="00CB5D73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DF6A9C">
              <w:rPr>
                <w:rFonts w:ascii="Palatino Linotype" w:hAnsi="Palatino Linotype" w:cs="Goudy-Bold"/>
                <w:bCs/>
                <w:sz w:val="24"/>
              </w:rPr>
              <w:t>David J. Portman, MD</w:t>
            </w:r>
          </w:p>
        </w:tc>
        <w:tc>
          <w:tcPr>
            <w:tcW w:w="5220" w:type="dxa"/>
          </w:tcPr>
          <w:p w14:paraId="1F0D91FD" w14:textId="77777777" w:rsidR="00B177E0" w:rsidRPr="00B177E0" w:rsidRDefault="00B177E0" w:rsidP="00B177E0">
            <w:pPr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B177E0">
              <w:rPr>
                <w:rFonts w:ascii="Palatino Linotype" w:hAnsi="Palatino Linotype" w:cs="Goudy-Bold"/>
                <w:b/>
                <w:bCs/>
                <w:sz w:val="24"/>
              </w:rPr>
              <w:t xml:space="preserve">Advisory Board: </w:t>
            </w:r>
            <w:proofErr w:type="spellStart"/>
            <w:r w:rsidRPr="00B177E0">
              <w:rPr>
                <w:rFonts w:ascii="Palatino Linotype" w:hAnsi="Palatino Linotype" w:cs="Goudy-Bold"/>
                <w:sz w:val="24"/>
              </w:rPr>
              <w:t>Evofem</w:t>
            </w:r>
            <w:proofErr w:type="spellEnd"/>
            <w:r w:rsidRPr="00B177E0">
              <w:rPr>
                <w:rFonts w:ascii="Palatino Linotype" w:hAnsi="Palatino Linotype" w:cs="Goudy-Bold"/>
                <w:sz w:val="24"/>
              </w:rPr>
              <w:t xml:space="preserve"> </w:t>
            </w:r>
          </w:p>
          <w:p w14:paraId="66A65E04" w14:textId="77777777" w:rsidR="00B177E0" w:rsidRPr="00B177E0" w:rsidRDefault="00B177E0" w:rsidP="00B177E0">
            <w:pPr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B177E0">
              <w:rPr>
                <w:rFonts w:ascii="Palatino Linotype" w:hAnsi="Palatino Linotype" w:cs="Goudy-Bold"/>
                <w:b/>
                <w:bCs/>
                <w:sz w:val="24"/>
              </w:rPr>
              <w:t xml:space="preserve">Consulting Fees: </w:t>
            </w:r>
            <w:r w:rsidRPr="00B177E0">
              <w:rPr>
                <w:rFonts w:ascii="Palatino Linotype" w:hAnsi="Palatino Linotype" w:cs="Goudy-Bold"/>
                <w:sz w:val="24"/>
              </w:rPr>
              <w:t xml:space="preserve">Agile Therapeutics, </w:t>
            </w:r>
            <w:proofErr w:type="spellStart"/>
            <w:r w:rsidRPr="00B177E0">
              <w:rPr>
                <w:rFonts w:ascii="Palatino Linotype" w:hAnsi="Palatino Linotype" w:cs="Goudy-Bold"/>
                <w:sz w:val="24"/>
              </w:rPr>
              <w:t>Sebela</w:t>
            </w:r>
            <w:proofErr w:type="spellEnd"/>
            <w:r w:rsidRPr="00B177E0">
              <w:rPr>
                <w:rFonts w:ascii="Palatino Linotype" w:hAnsi="Palatino Linotype" w:cs="Goudy-Bold"/>
                <w:b/>
                <w:bCs/>
                <w:sz w:val="24"/>
              </w:rPr>
              <w:t xml:space="preserve"> </w:t>
            </w:r>
          </w:p>
          <w:p w14:paraId="1771A7C2" w14:textId="77777777" w:rsidR="00B177E0" w:rsidRPr="00B177E0" w:rsidRDefault="00B177E0" w:rsidP="00B177E0">
            <w:pPr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B177E0">
              <w:rPr>
                <w:rFonts w:ascii="Palatino Linotype" w:hAnsi="Palatino Linotype" w:cs="Goudy-Bold"/>
                <w:b/>
                <w:bCs/>
                <w:sz w:val="24"/>
              </w:rPr>
              <w:t xml:space="preserve">Research Grants: </w:t>
            </w:r>
            <w:r w:rsidRPr="00B177E0">
              <w:rPr>
                <w:rFonts w:ascii="Palatino Linotype" w:hAnsi="Palatino Linotype" w:cs="Goudy-Bold"/>
                <w:sz w:val="24"/>
              </w:rPr>
              <w:t>Agile Therapeutics</w:t>
            </w:r>
          </w:p>
          <w:p w14:paraId="670DD54A" w14:textId="7E3D6AF4" w:rsidR="00CB5D73" w:rsidRPr="00764FA1" w:rsidRDefault="00B177E0" w:rsidP="00B177E0">
            <w:pPr>
              <w:rPr>
                <w:rFonts w:ascii="Palatino Linotype" w:hAnsi="Palatino Linotype" w:cs="Goudy-Bold"/>
                <w:bCs/>
                <w:sz w:val="24"/>
              </w:rPr>
            </w:pPr>
            <w:r w:rsidRPr="00B177E0">
              <w:rPr>
                <w:rFonts w:ascii="Palatino Linotype" w:hAnsi="Palatino Linotype" w:cs="Goudy-Bold"/>
                <w:b/>
                <w:bCs/>
                <w:sz w:val="24"/>
              </w:rPr>
              <w:t xml:space="preserve">Shareholder: </w:t>
            </w:r>
            <w:proofErr w:type="spellStart"/>
            <w:r w:rsidRPr="00B177E0">
              <w:rPr>
                <w:rFonts w:ascii="Palatino Linotype" w:hAnsi="Palatino Linotype" w:cs="Goudy-Bold"/>
                <w:sz w:val="24"/>
              </w:rPr>
              <w:t>Sermonix</w:t>
            </w:r>
            <w:proofErr w:type="spellEnd"/>
            <w:r w:rsidRPr="00B177E0">
              <w:rPr>
                <w:rFonts w:ascii="Palatino Linotype" w:hAnsi="Palatino Linotype" w:cs="Goudy-Bold"/>
                <w:sz w:val="24"/>
              </w:rPr>
              <w:t xml:space="preserve"> Pharmaceuticals</w:t>
            </w:r>
          </w:p>
        </w:tc>
      </w:tr>
      <w:tr w:rsidR="00D27D98" w:rsidRPr="001762CB" w14:paraId="3354B678" w14:textId="77777777" w:rsidTr="00550435">
        <w:tc>
          <w:tcPr>
            <w:tcW w:w="4428" w:type="dxa"/>
          </w:tcPr>
          <w:p w14:paraId="5DDBCFAF" w14:textId="41858B20" w:rsidR="00D27D98" w:rsidRPr="00DF6A9C" w:rsidRDefault="00D27D98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D27D98">
              <w:rPr>
                <w:rFonts w:ascii="Palatino Linotype" w:hAnsi="Palatino Linotype" w:cs="Goudy-Bold"/>
                <w:bCs/>
                <w:sz w:val="24"/>
              </w:rPr>
              <w:t>Jane R. Schwebke, MD</w:t>
            </w:r>
          </w:p>
        </w:tc>
        <w:tc>
          <w:tcPr>
            <w:tcW w:w="5220" w:type="dxa"/>
          </w:tcPr>
          <w:p w14:paraId="2A2772FB" w14:textId="77777777" w:rsidR="00D27D98" w:rsidRPr="009C6540" w:rsidRDefault="00D27D98" w:rsidP="00D27D98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9C6540">
              <w:rPr>
                <w:rFonts w:ascii="Palatino Linotype" w:hAnsi="Palatino Linotype" w:cs="Goudy-Bold"/>
                <w:b/>
                <w:bCs/>
                <w:sz w:val="24"/>
              </w:rPr>
              <w:t xml:space="preserve">Consulting Fees: </w:t>
            </w:r>
            <w:r w:rsidRPr="009C6540">
              <w:rPr>
                <w:rFonts w:ascii="Palatino Linotype" w:hAnsi="Palatino Linotype" w:cs="Goudy-Bold"/>
                <w:sz w:val="24"/>
              </w:rPr>
              <w:t>Hologic, Talis</w:t>
            </w:r>
          </w:p>
          <w:p w14:paraId="4672D256" w14:textId="77777777" w:rsidR="00D27D98" w:rsidRPr="009C6540" w:rsidRDefault="00D27D98" w:rsidP="00D27D98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sz w:val="24"/>
              </w:rPr>
            </w:pPr>
            <w:r w:rsidRPr="009C6540">
              <w:rPr>
                <w:rFonts w:ascii="Palatino Linotype" w:hAnsi="Palatino Linotype" w:cs="Goudy-Bold"/>
                <w:b/>
                <w:bCs/>
                <w:sz w:val="24"/>
              </w:rPr>
              <w:t xml:space="preserve">Contracted Research: </w:t>
            </w:r>
            <w:r w:rsidRPr="009C6540">
              <w:rPr>
                <w:rFonts w:ascii="Palatino Linotype" w:hAnsi="Palatino Linotype" w:cs="Goudy-Bold"/>
                <w:sz w:val="24"/>
              </w:rPr>
              <w:t xml:space="preserve">BD Diagnostics, Hologic, Lupin, </w:t>
            </w:r>
            <w:proofErr w:type="spellStart"/>
            <w:r w:rsidRPr="009C6540">
              <w:rPr>
                <w:rFonts w:ascii="Palatino Linotype" w:hAnsi="Palatino Linotype" w:cs="Goudy-Bold"/>
                <w:sz w:val="24"/>
              </w:rPr>
              <w:t>Mycovia</w:t>
            </w:r>
            <w:proofErr w:type="spellEnd"/>
            <w:r w:rsidRPr="009C6540">
              <w:rPr>
                <w:rFonts w:ascii="Palatino Linotype" w:hAnsi="Palatino Linotype" w:cs="Goudy-Bold"/>
                <w:sz w:val="24"/>
              </w:rPr>
              <w:t xml:space="preserve"> Pharmaceuticals, </w:t>
            </w:r>
            <w:proofErr w:type="spellStart"/>
            <w:r w:rsidRPr="009C6540">
              <w:rPr>
                <w:rFonts w:ascii="Palatino Linotype" w:hAnsi="Palatino Linotype" w:cs="Goudy-Bold"/>
                <w:sz w:val="24"/>
              </w:rPr>
              <w:t>Synexis</w:t>
            </w:r>
            <w:proofErr w:type="spellEnd"/>
          </w:p>
          <w:p w14:paraId="54BB5FBD" w14:textId="3DFC0E33" w:rsidR="00D27D98" w:rsidRPr="00B177E0" w:rsidRDefault="00D27D98" w:rsidP="00D27D98">
            <w:pPr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9C6540">
              <w:rPr>
                <w:rFonts w:ascii="Palatino Linotype" w:hAnsi="Palatino Linotype" w:cs="Goudy-Bold"/>
                <w:b/>
                <w:bCs/>
                <w:sz w:val="24"/>
              </w:rPr>
              <w:t xml:space="preserve">Ownership Interest: </w:t>
            </w:r>
            <w:r w:rsidRPr="009C6540">
              <w:rPr>
                <w:rFonts w:ascii="Palatino Linotype" w:hAnsi="Palatino Linotype" w:cs="Goudy-Bold"/>
                <w:sz w:val="24"/>
              </w:rPr>
              <w:t>Talis</w:t>
            </w:r>
          </w:p>
        </w:tc>
      </w:tr>
      <w:tr w:rsidR="00550435" w:rsidRPr="00E3653A" w14:paraId="4D85A28D" w14:textId="77777777" w:rsidTr="00FC46B8">
        <w:tc>
          <w:tcPr>
            <w:tcW w:w="4428" w:type="dxa"/>
            <w:tcBorders>
              <w:bottom w:val="single" w:sz="4" w:space="0" w:color="auto"/>
            </w:tcBorders>
          </w:tcPr>
          <w:p w14:paraId="50A43A8B" w14:textId="77777777" w:rsidR="00550435" w:rsidRPr="00CF2EF3" w:rsidRDefault="00CF2EF3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color w:val="FF0000"/>
                <w:sz w:val="24"/>
              </w:rPr>
            </w:pPr>
            <w:r w:rsidRPr="00CF2EF3">
              <w:rPr>
                <w:rFonts w:ascii="Palatino Linotype" w:hAnsi="Palatino Linotype" w:cs="Goudy-Bold"/>
                <w:bCs/>
                <w:sz w:val="24"/>
              </w:rPr>
              <w:t>Robert Schneider, MSW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4766CAFA" w14:textId="77777777" w:rsidR="00550435" w:rsidRPr="00CF2EF3" w:rsidRDefault="00550435" w:rsidP="00260A66">
            <w:pPr>
              <w:rPr>
                <w:rFonts w:ascii="Palatino Linotype" w:hAnsi="Palatino Linotype" w:cs="Goudy-Bold"/>
                <w:bCs/>
                <w:sz w:val="24"/>
              </w:rPr>
            </w:pPr>
            <w:r w:rsidRPr="00CF2EF3">
              <w:rPr>
                <w:rFonts w:ascii="Palatino Linotype" w:hAnsi="Palatino Linotype" w:cs="Goudy-Bold"/>
                <w:bCs/>
                <w:sz w:val="24"/>
              </w:rPr>
              <w:t>No relationship reported</w:t>
            </w:r>
          </w:p>
        </w:tc>
      </w:tr>
      <w:tr w:rsidR="00B177E0" w:rsidRPr="00E3653A" w14:paraId="7BAC6EC8" w14:textId="77777777" w:rsidTr="00FC46B8">
        <w:tc>
          <w:tcPr>
            <w:tcW w:w="4428" w:type="dxa"/>
            <w:tcBorders>
              <w:bottom w:val="single" w:sz="4" w:space="0" w:color="auto"/>
            </w:tcBorders>
          </w:tcPr>
          <w:p w14:paraId="4EE7BFE3" w14:textId="632F8FA4" w:rsidR="00B177E0" w:rsidRPr="00CF2EF3" w:rsidRDefault="00D27D98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D27D98">
              <w:rPr>
                <w:rFonts w:ascii="Palatino Linotype" w:hAnsi="Palatino Linotype" w:cs="Goudy-Bold"/>
                <w:bCs/>
                <w:sz w:val="24"/>
              </w:rPr>
              <w:t>Jack D. Sobel, MD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2BB9382A" w14:textId="61FFF9F6" w:rsidR="00B177E0" w:rsidRPr="00CF2EF3" w:rsidRDefault="00D27D98" w:rsidP="00260A66">
            <w:pPr>
              <w:rPr>
                <w:rFonts w:ascii="Palatino Linotype" w:hAnsi="Palatino Linotype" w:cs="Goudy-Bold"/>
                <w:bCs/>
                <w:sz w:val="24"/>
              </w:rPr>
            </w:pPr>
            <w:r w:rsidRPr="00B177E0">
              <w:rPr>
                <w:rFonts w:ascii="Palatino Linotype" w:hAnsi="Palatino Linotype" w:cs="Goudy-Bold"/>
                <w:b/>
                <w:bCs/>
                <w:sz w:val="24"/>
              </w:rPr>
              <w:t xml:space="preserve">Consulting Fees: </w:t>
            </w:r>
            <w:proofErr w:type="spellStart"/>
            <w:r w:rsidRPr="00B177E0">
              <w:rPr>
                <w:rFonts w:ascii="Palatino Linotype" w:hAnsi="Palatino Linotype" w:cs="Goudy-Bold"/>
                <w:sz w:val="24"/>
              </w:rPr>
              <w:t>Mycovia</w:t>
            </w:r>
            <w:proofErr w:type="spellEnd"/>
            <w:r w:rsidRPr="00B177E0">
              <w:rPr>
                <w:rFonts w:ascii="Palatino Linotype" w:hAnsi="Palatino Linotype" w:cs="Goudy-Bold"/>
                <w:sz w:val="24"/>
              </w:rPr>
              <w:t xml:space="preserve"> Pharmaceuticals, SCYNEXIS</w:t>
            </w:r>
            <w:r w:rsidRPr="00B177E0">
              <w:rPr>
                <w:rFonts w:ascii="Palatino Linotype" w:hAnsi="Palatino Linotype" w:cs="Goudy-Bold"/>
                <w:b/>
                <w:bCs/>
                <w:sz w:val="24"/>
              </w:rPr>
              <w:br/>
              <w:t xml:space="preserve">Royalty: </w:t>
            </w:r>
            <w:proofErr w:type="gramStart"/>
            <w:r w:rsidRPr="00B177E0">
              <w:rPr>
                <w:rFonts w:ascii="Palatino Linotype" w:hAnsi="Palatino Linotype" w:cs="Goudy-Bold"/>
                <w:sz w:val="24"/>
              </w:rPr>
              <w:t>Up-To-Date</w:t>
            </w:r>
            <w:proofErr w:type="gramEnd"/>
          </w:p>
        </w:tc>
      </w:tr>
      <w:tr w:rsidR="00B177E0" w:rsidRPr="00E3653A" w14:paraId="46443D1D" w14:textId="77777777" w:rsidTr="00FC46B8">
        <w:tc>
          <w:tcPr>
            <w:tcW w:w="4428" w:type="dxa"/>
            <w:tcBorders>
              <w:bottom w:val="single" w:sz="4" w:space="0" w:color="auto"/>
            </w:tcBorders>
          </w:tcPr>
          <w:p w14:paraId="14FB4E38" w14:textId="241B53E8" w:rsidR="00B177E0" w:rsidRPr="00CF2EF3" w:rsidRDefault="00D27D98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proofErr w:type="spellStart"/>
            <w:r w:rsidRPr="00D27D98">
              <w:rPr>
                <w:rFonts w:ascii="Palatino Linotype" w:hAnsi="Palatino Linotype" w:cs="Goudy-Bold"/>
                <w:bCs/>
                <w:sz w:val="24"/>
              </w:rPr>
              <w:t>Sateria</w:t>
            </w:r>
            <w:proofErr w:type="spellEnd"/>
            <w:r w:rsidRPr="00D27D98">
              <w:rPr>
                <w:rFonts w:ascii="Palatino Linotype" w:hAnsi="Palatino Linotype" w:cs="Goudy-Bold"/>
                <w:bCs/>
                <w:sz w:val="24"/>
              </w:rPr>
              <w:t xml:space="preserve"> Venable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07F467F1" w14:textId="1F338226" w:rsidR="00B177E0" w:rsidRPr="00CF2EF3" w:rsidRDefault="00D27D98" w:rsidP="00260A66">
            <w:pPr>
              <w:rPr>
                <w:rFonts w:ascii="Palatino Linotype" w:hAnsi="Palatino Linotype" w:cs="Goudy-Bold"/>
                <w:bCs/>
                <w:sz w:val="24"/>
              </w:rPr>
            </w:pPr>
            <w:r w:rsidRPr="00D27D98">
              <w:rPr>
                <w:rFonts w:ascii="Palatino Linotype" w:hAnsi="Palatino Linotype" w:cs="Goudy-Bold"/>
                <w:bCs/>
                <w:sz w:val="24"/>
              </w:rPr>
              <w:t>No relationship reported</w:t>
            </w:r>
          </w:p>
        </w:tc>
      </w:tr>
      <w:tr w:rsidR="00B177E0" w:rsidRPr="00E3653A" w14:paraId="66E88638" w14:textId="77777777" w:rsidTr="00FC46B8">
        <w:tc>
          <w:tcPr>
            <w:tcW w:w="4428" w:type="dxa"/>
            <w:tcBorders>
              <w:bottom w:val="single" w:sz="4" w:space="0" w:color="auto"/>
            </w:tcBorders>
          </w:tcPr>
          <w:p w14:paraId="53F53E3B" w14:textId="12F5165A" w:rsidR="00B177E0" w:rsidRPr="00CF2EF3" w:rsidRDefault="00D27D98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D27D98">
              <w:rPr>
                <w:rFonts w:ascii="Palatino Linotype" w:hAnsi="Palatino Linotype" w:cs="Goudy-Bold"/>
                <w:bCs/>
                <w:sz w:val="24"/>
              </w:rPr>
              <w:t>Thomas C. Wright, Jr, MD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02613986" w14:textId="06EAA000" w:rsidR="00B177E0" w:rsidRPr="00CF2EF3" w:rsidRDefault="00D27D98" w:rsidP="00260A66">
            <w:pPr>
              <w:rPr>
                <w:rFonts w:ascii="Palatino Linotype" w:hAnsi="Palatino Linotype" w:cs="Goudy-Bold"/>
                <w:bCs/>
                <w:sz w:val="24"/>
              </w:rPr>
            </w:pPr>
            <w:r w:rsidRPr="00D27D98">
              <w:rPr>
                <w:rFonts w:ascii="Palatino Linotype" w:hAnsi="Palatino Linotype" w:cs="Goudy-Bold"/>
                <w:b/>
                <w:sz w:val="24"/>
              </w:rPr>
              <w:t>Consulting Fees:</w:t>
            </w:r>
            <w:r w:rsidRPr="00D27D98">
              <w:rPr>
                <w:rFonts w:ascii="Palatino Linotype" w:hAnsi="Palatino Linotype" w:cs="Goudy-Bold"/>
                <w:bCs/>
                <w:sz w:val="24"/>
              </w:rPr>
              <w:t xml:space="preserve"> BD, </w:t>
            </w:r>
            <w:proofErr w:type="spellStart"/>
            <w:r w:rsidRPr="00D27D98">
              <w:rPr>
                <w:rFonts w:ascii="Palatino Linotype" w:hAnsi="Palatino Linotype" w:cs="Goudy-Bold"/>
                <w:bCs/>
                <w:sz w:val="24"/>
              </w:rPr>
              <w:t>Inovio</w:t>
            </w:r>
            <w:proofErr w:type="spellEnd"/>
            <w:r w:rsidRPr="00D27D98">
              <w:rPr>
                <w:rFonts w:ascii="Palatino Linotype" w:hAnsi="Palatino Linotype" w:cs="Goudy-Bold"/>
                <w:bCs/>
                <w:sz w:val="24"/>
              </w:rPr>
              <w:t>, Roche Diagnostics</w:t>
            </w:r>
          </w:p>
        </w:tc>
      </w:tr>
      <w:tr w:rsidR="00FC46B8" w:rsidRPr="00E3653A" w14:paraId="14162FE3" w14:textId="77777777" w:rsidTr="00FC46B8"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83950" w14:textId="77777777" w:rsidR="00FC46B8" w:rsidRPr="00CF2EF3" w:rsidRDefault="00FC46B8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B8B26" w14:textId="77777777" w:rsidR="00FC46B8" w:rsidRPr="00CF2EF3" w:rsidRDefault="00FC46B8" w:rsidP="00260A66">
            <w:pPr>
              <w:rPr>
                <w:rFonts w:ascii="Palatino Linotype" w:hAnsi="Palatino Linotype" w:cs="Goudy-Bold"/>
                <w:bCs/>
                <w:sz w:val="24"/>
              </w:rPr>
            </w:pPr>
          </w:p>
        </w:tc>
      </w:tr>
      <w:tr w:rsidR="00FC46B8" w:rsidRPr="00E3653A" w14:paraId="5542E042" w14:textId="77777777" w:rsidTr="00FC46B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5C130D99" w14:textId="77777777" w:rsidR="00FC46B8" w:rsidRPr="00CF2EF3" w:rsidRDefault="00FC46B8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61FD80CB" w14:textId="77777777" w:rsidR="00FC46B8" w:rsidRPr="00CF2EF3" w:rsidRDefault="00FC46B8" w:rsidP="00260A66">
            <w:pPr>
              <w:rPr>
                <w:rFonts w:ascii="Palatino Linotype" w:hAnsi="Palatino Linotype" w:cs="Goudy-Bold"/>
                <w:bCs/>
                <w:sz w:val="24"/>
              </w:rPr>
            </w:pPr>
          </w:p>
        </w:tc>
      </w:tr>
    </w:tbl>
    <w:p w14:paraId="27437E26" w14:textId="0ADC6FBA" w:rsidR="00413CEE" w:rsidRPr="00413CEE" w:rsidRDefault="00413CEE" w:rsidP="00413CEE">
      <w:pPr>
        <w:autoSpaceDE w:val="0"/>
        <w:autoSpaceDN w:val="0"/>
        <w:adjustRightInd w:val="0"/>
        <w:rPr>
          <w:rFonts w:ascii="Palatino Linotype" w:hAnsi="Palatino Linotype"/>
          <w:b/>
          <w:bCs/>
          <w:iCs/>
          <w:sz w:val="26"/>
          <w:szCs w:val="24"/>
        </w:rPr>
      </w:pPr>
      <w:r w:rsidRPr="00B4103F">
        <w:rPr>
          <w:rFonts w:ascii="Palatino Linotype" w:hAnsi="Palatino Linotype"/>
          <w:b/>
          <w:bCs/>
          <w:iCs/>
          <w:sz w:val="26"/>
          <w:szCs w:val="24"/>
        </w:rPr>
        <w:t>Acknowledgement of Commercial Support:</w:t>
      </w:r>
      <w:r w:rsidRPr="00413CEE">
        <w:rPr>
          <w:rFonts w:ascii="Palatino Linotype" w:hAnsi="Palatino Linotype"/>
          <w:b/>
          <w:bCs/>
          <w:iCs/>
          <w:sz w:val="26"/>
          <w:szCs w:val="24"/>
        </w:rPr>
        <w:t xml:space="preserve"> </w:t>
      </w:r>
    </w:p>
    <w:p w14:paraId="634B42F5" w14:textId="77777777" w:rsidR="00413CEE" w:rsidRPr="00531905" w:rsidRDefault="00413CEE" w:rsidP="00413CEE">
      <w:pPr>
        <w:autoSpaceDE w:val="0"/>
        <w:autoSpaceDN w:val="0"/>
        <w:adjustRightInd w:val="0"/>
        <w:rPr>
          <w:rFonts w:ascii="Palatino Linotype" w:hAnsi="Palatino Linotype"/>
          <w:b/>
          <w:bCs/>
          <w:iCs/>
          <w:smallCaps/>
          <w:spacing w:val="60"/>
          <w:sz w:val="22"/>
          <w:szCs w:val="24"/>
        </w:rPr>
      </w:pPr>
    </w:p>
    <w:p w14:paraId="595491F6" w14:textId="28D3381D" w:rsidR="003A7A65" w:rsidRDefault="003A7A65" w:rsidP="003A7A65">
      <w:pPr>
        <w:jc w:val="both"/>
        <w:rPr>
          <w:rFonts w:ascii="Palatino Linotype" w:hAnsi="Palatino Linotype"/>
          <w:color w:val="000000"/>
          <w:sz w:val="24"/>
          <w:szCs w:val="24"/>
        </w:rPr>
      </w:pPr>
      <w:r w:rsidRPr="006321E6">
        <w:rPr>
          <w:rFonts w:ascii="Palatino Linotype" w:hAnsi="Palatino Linotype"/>
          <w:sz w:val="24"/>
          <w:szCs w:val="24"/>
        </w:rPr>
        <w:t xml:space="preserve">This activity is supported by independent educational grants from </w:t>
      </w:r>
      <w:r w:rsidR="00CB5D73">
        <w:rPr>
          <w:rFonts w:ascii="Palatino Linotype" w:hAnsi="Palatino Linotype"/>
          <w:sz w:val="24"/>
          <w:szCs w:val="24"/>
        </w:rPr>
        <w:t xml:space="preserve">AbbVie, </w:t>
      </w:r>
      <w:r w:rsidR="00B4103F">
        <w:rPr>
          <w:rFonts w:ascii="Palatino Linotype" w:hAnsi="Palatino Linotype"/>
          <w:sz w:val="24"/>
          <w:szCs w:val="24"/>
        </w:rPr>
        <w:t xml:space="preserve">Agile Therapeutics, </w:t>
      </w:r>
      <w:proofErr w:type="spellStart"/>
      <w:r w:rsidR="00145AE3">
        <w:rPr>
          <w:rFonts w:ascii="Palatino Linotype" w:hAnsi="Palatino Linotype"/>
          <w:sz w:val="24"/>
          <w:szCs w:val="24"/>
        </w:rPr>
        <w:t>Amarin</w:t>
      </w:r>
      <w:proofErr w:type="spellEnd"/>
      <w:r w:rsidR="00037926">
        <w:rPr>
          <w:rFonts w:ascii="Palatino Linotype" w:hAnsi="Palatino Linotype"/>
          <w:sz w:val="24"/>
          <w:szCs w:val="24"/>
        </w:rPr>
        <w:t xml:space="preserve"> Pharma</w:t>
      </w:r>
      <w:r w:rsidR="00145AE3">
        <w:rPr>
          <w:rFonts w:ascii="Palatino Linotype" w:hAnsi="Palatino Linotype"/>
          <w:sz w:val="24"/>
          <w:szCs w:val="24"/>
        </w:rPr>
        <w:t xml:space="preserve">, </w:t>
      </w:r>
      <w:r w:rsidR="00B4103F">
        <w:rPr>
          <w:rFonts w:ascii="Palatino Linotype" w:hAnsi="Palatino Linotype"/>
          <w:sz w:val="24"/>
          <w:szCs w:val="24"/>
        </w:rPr>
        <w:t>Roche Diagnostics</w:t>
      </w:r>
      <w:r w:rsidR="004F299A">
        <w:rPr>
          <w:rFonts w:ascii="Palatino Linotype" w:hAnsi="Palatino Linotype"/>
          <w:sz w:val="24"/>
          <w:szCs w:val="24"/>
        </w:rPr>
        <w:t xml:space="preserve">, and </w:t>
      </w:r>
      <w:r w:rsidR="00B4103F">
        <w:rPr>
          <w:rFonts w:ascii="Palatino Linotype" w:hAnsi="Palatino Linotype"/>
          <w:sz w:val="24"/>
          <w:szCs w:val="24"/>
        </w:rPr>
        <w:t>SCYNEXIS</w:t>
      </w:r>
      <w:r w:rsidR="00CB5D73">
        <w:rPr>
          <w:rFonts w:ascii="Palatino Linotype" w:hAnsi="Palatino Linotype"/>
          <w:sz w:val="24"/>
          <w:szCs w:val="24"/>
        </w:rPr>
        <w:t>.</w:t>
      </w:r>
    </w:p>
    <w:p w14:paraId="61EAE31A" w14:textId="77777777" w:rsidR="004F2BD6" w:rsidRDefault="004F2BD6" w:rsidP="00413CEE">
      <w:pPr>
        <w:autoSpaceDE w:val="0"/>
        <w:autoSpaceDN w:val="0"/>
        <w:adjustRightInd w:val="0"/>
        <w:rPr>
          <w:rFonts w:ascii="Palatino Linotype" w:hAnsi="Palatino Linotype"/>
          <w:b/>
          <w:bCs/>
          <w:iCs/>
          <w:sz w:val="26"/>
          <w:szCs w:val="24"/>
        </w:rPr>
      </w:pPr>
    </w:p>
    <w:p w14:paraId="37590077" w14:textId="2547F790" w:rsidR="00D27D98" w:rsidRDefault="00D27D98" w:rsidP="00413CEE">
      <w:pPr>
        <w:autoSpaceDE w:val="0"/>
        <w:autoSpaceDN w:val="0"/>
        <w:adjustRightInd w:val="0"/>
        <w:rPr>
          <w:rFonts w:ascii="Palatino Linotype" w:hAnsi="Palatino Linotype"/>
          <w:b/>
          <w:bCs/>
          <w:iCs/>
          <w:sz w:val="26"/>
          <w:szCs w:val="24"/>
        </w:rPr>
      </w:pPr>
    </w:p>
    <w:p w14:paraId="54F112F9" w14:textId="3F71B51F" w:rsidR="00580CD7" w:rsidRDefault="00580CD7" w:rsidP="00413CEE">
      <w:pPr>
        <w:autoSpaceDE w:val="0"/>
        <w:autoSpaceDN w:val="0"/>
        <w:adjustRightInd w:val="0"/>
        <w:rPr>
          <w:rFonts w:ascii="Palatino Linotype" w:hAnsi="Palatino Linotype"/>
          <w:b/>
          <w:bCs/>
          <w:iCs/>
          <w:sz w:val="26"/>
          <w:szCs w:val="24"/>
        </w:rPr>
      </w:pPr>
    </w:p>
    <w:p w14:paraId="083E37DD" w14:textId="77777777" w:rsidR="00580CD7" w:rsidRDefault="00580CD7" w:rsidP="00413CEE">
      <w:pPr>
        <w:autoSpaceDE w:val="0"/>
        <w:autoSpaceDN w:val="0"/>
        <w:adjustRightInd w:val="0"/>
        <w:rPr>
          <w:rFonts w:ascii="Palatino Linotype" w:hAnsi="Palatino Linotype"/>
          <w:b/>
          <w:bCs/>
          <w:iCs/>
          <w:sz w:val="26"/>
          <w:szCs w:val="24"/>
        </w:rPr>
      </w:pPr>
    </w:p>
    <w:p w14:paraId="0A3E8C4D" w14:textId="4A1C76AB" w:rsidR="003805A1" w:rsidRPr="00413CEE" w:rsidRDefault="003805A1" w:rsidP="00037926"/>
    <w:sectPr w:rsidR="003805A1" w:rsidRPr="00413CEE" w:rsidSect="003805A1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91A33" w14:textId="77777777" w:rsidR="00EC6056" w:rsidRDefault="00EC6056">
      <w:r>
        <w:separator/>
      </w:r>
    </w:p>
  </w:endnote>
  <w:endnote w:type="continuationSeparator" w:id="0">
    <w:p w14:paraId="529C6893" w14:textId="77777777" w:rsidR="00EC6056" w:rsidRDefault="00EC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pleGothic">
    <w:altName w:val="Arial Unicode MS"/>
    <w:charset w:val="4F"/>
    <w:family w:val="auto"/>
    <w:pitch w:val="variable"/>
    <w:sig w:usb0="01000000" w:usb1="00000000" w:usb2="06240001" w:usb3="00000000" w:csb0="0008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oudy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0FC4D" w14:textId="77777777" w:rsidR="00EC6056" w:rsidRDefault="00EC605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AFDF72" wp14:editId="501BED4F">
          <wp:simplePos x="0" y="0"/>
          <wp:positionH relativeFrom="column">
            <wp:posOffset>2451735</wp:posOffset>
          </wp:positionH>
          <wp:positionV relativeFrom="paragraph">
            <wp:posOffset>86360</wp:posOffset>
          </wp:positionV>
          <wp:extent cx="800100" cy="205740"/>
          <wp:effectExtent l="19050" t="0" r="0" b="0"/>
          <wp:wrapNone/>
          <wp:docPr id="2" name="Picture 2" descr="sideWid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deWidg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05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3441E" w14:textId="77777777" w:rsidR="00EC6056" w:rsidRDefault="00EC6056">
      <w:r>
        <w:separator/>
      </w:r>
    </w:p>
  </w:footnote>
  <w:footnote w:type="continuationSeparator" w:id="0">
    <w:p w14:paraId="0F78A3B3" w14:textId="77777777" w:rsidR="00EC6056" w:rsidRDefault="00EC6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940FF" w14:textId="77777777" w:rsidR="00EC6056" w:rsidRDefault="00EC6056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6D53FA7" wp14:editId="7DF7B38B">
          <wp:simplePos x="0" y="0"/>
          <wp:positionH relativeFrom="column">
            <wp:posOffset>851535</wp:posOffset>
          </wp:positionH>
          <wp:positionV relativeFrom="paragraph">
            <wp:posOffset>-48260</wp:posOffset>
          </wp:positionV>
          <wp:extent cx="5486400" cy="393700"/>
          <wp:effectExtent l="19050" t="0" r="0" b="0"/>
          <wp:wrapNone/>
          <wp:docPr id="1" name="Picture 1" descr="topWid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Widg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D5A"/>
    <w:multiLevelType w:val="multilevel"/>
    <w:tmpl w:val="AFB0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677CA"/>
    <w:multiLevelType w:val="multilevel"/>
    <w:tmpl w:val="C0C4DA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B14A5"/>
    <w:multiLevelType w:val="hybridMultilevel"/>
    <w:tmpl w:val="5252ADB2"/>
    <w:lvl w:ilvl="0" w:tplc="F47262CE">
      <w:start w:val="1"/>
      <w:numFmt w:val="bullet"/>
      <w:lvlText w:val="▭"/>
      <w:lvlJc w:val="left"/>
      <w:pPr>
        <w:tabs>
          <w:tab w:val="num" w:pos="720"/>
        </w:tabs>
        <w:ind w:left="720" w:hanging="360"/>
      </w:pPr>
      <w:rPr>
        <w:rFonts w:ascii="AppleGothic" w:eastAsia="AppleGothic" w:hAnsi="Symbol" w:hint="eastAsia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A3BD4"/>
    <w:multiLevelType w:val="hybridMultilevel"/>
    <w:tmpl w:val="02DADC80"/>
    <w:lvl w:ilvl="0" w:tplc="4E70C2D0">
      <w:start w:val="1"/>
      <w:numFmt w:val="bullet"/>
      <w:lvlText w:val="▭"/>
      <w:lvlJc w:val="left"/>
      <w:pPr>
        <w:tabs>
          <w:tab w:val="num" w:pos="720"/>
        </w:tabs>
        <w:ind w:left="720" w:hanging="360"/>
      </w:pPr>
      <w:rPr>
        <w:rFonts w:ascii="AppleGothic" w:eastAsia="AppleGothic" w:hAnsi="AppleGothic" w:hint="eastAsia"/>
        <w:color w:val="00336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A5CB7"/>
    <w:multiLevelType w:val="hybridMultilevel"/>
    <w:tmpl w:val="10D63E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D33EF8"/>
    <w:multiLevelType w:val="hybridMultilevel"/>
    <w:tmpl w:val="73FCEC30"/>
    <w:lvl w:ilvl="0" w:tplc="62D09444">
      <w:start w:val="1"/>
      <w:numFmt w:val="bullet"/>
      <w:lvlText w:val="▭"/>
      <w:lvlJc w:val="left"/>
      <w:pPr>
        <w:tabs>
          <w:tab w:val="num" w:pos="720"/>
        </w:tabs>
        <w:ind w:left="720" w:hanging="360"/>
      </w:pPr>
      <w:rPr>
        <w:rFonts w:ascii="AppleGothic" w:eastAsia="AppleGothic" w:hAnsi="AppleGothic" w:hint="eastAsia"/>
        <w:color w:val="B26A4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2355F"/>
    <w:multiLevelType w:val="multilevel"/>
    <w:tmpl w:val="5252ADB2"/>
    <w:lvl w:ilvl="0">
      <w:start w:val="1"/>
      <w:numFmt w:val="bullet"/>
      <w:lvlText w:val="▭"/>
      <w:lvlJc w:val="left"/>
      <w:pPr>
        <w:tabs>
          <w:tab w:val="num" w:pos="720"/>
        </w:tabs>
        <w:ind w:left="720" w:hanging="360"/>
      </w:pPr>
      <w:rPr>
        <w:rFonts w:ascii="AppleGothic" w:eastAsia="AppleGothic" w:hAnsi="Symbol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4146D"/>
    <w:multiLevelType w:val="multilevel"/>
    <w:tmpl w:val="02DADC80"/>
    <w:lvl w:ilvl="0">
      <w:start w:val="1"/>
      <w:numFmt w:val="bullet"/>
      <w:lvlText w:val="▭"/>
      <w:lvlJc w:val="left"/>
      <w:pPr>
        <w:tabs>
          <w:tab w:val="num" w:pos="720"/>
        </w:tabs>
        <w:ind w:left="720" w:hanging="360"/>
      </w:pPr>
      <w:rPr>
        <w:rFonts w:ascii="AppleGothic" w:eastAsia="AppleGothic" w:hAnsi="AppleGothic" w:hint="eastAsia"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40555"/>
    <w:multiLevelType w:val="hybridMultilevel"/>
    <w:tmpl w:val="9C9A57DE"/>
    <w:lvl w:ilvl="0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A85533"/>
    <w:multiLevelType w:val="multilevel"/>
    <w:tmpl w:val="9C86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56C3B"/>
    <w:multiLevelType w:val="hybridMultilevel"/>
    <w:tmpl w:val="CB90D8D0"/>
    <w:lvl w:ilvl="0" w:tplc="8F0E97F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1" w15:restartNumberingAfterBreak="0">
    <w:nsid w:val="7C6457F5"/>
    <w:multiLevelType w:val="hybridMultilevel"/>
    <w:tmpl w:val="41967E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1"/>
  </w:num>
  <w:num w:numId="8">
    <w:abstractNumId w:val="4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54C"/>
    <w:rsid w:val="000020D5"/>
    <w:rsid w:val="0001015A"/>
    <w:rsid w:val="00010B2D"/>
    <w:rsid w:val="00037269"/>
    <w:rsid w:val="00037926"/>
    <w:rsid w:val="00040771"/>
    <w:rsid w:val="000423FB"/>
    <w:rsid w:val="00054248"/>
    <w:rsid w:val="000559F7"/>
    <w:rsid w:val="00062A49"/>
    <w:rsid w:val="00085084"/>
    <w:rsid w:val="0008702E"/>
    <w:rsid w:val="000B1D69"/>
    <w:rsid w:val="000C1B1D"/>
    <w:rsid w:val="000C2372"/>
    <w:rsid w:val="000E22DB"/>
    <w:rsid w:val="00112B2D"/>
    <w:rsid w:val="00133EB8"/>
    <w:rsid w:val="00145AE3"/>
    <w:rsid w:val="001801EC"/>
    <w:rsid w:val="00193F38"/>
    <w:rsid w:val="001A4C32"/>
    <w:rsid w:val="001B2B74"/>
    <w:rsid w:val="001D0F54"/>
    <w:rsid w:val="001E6E93"/>
    <w:rsid w:val="0022147E"/>
    <w:rsid w:val="0022420B"/>
    <w:rsid w:val="00224C90"/>
    <w:rsid w:val="002253D2"/>
    <w:rsid w:val="00242C23"/>
    <w:rsid w:val="00260F18"/>
    <w:rsid w:val="002B59D7"/>
    <w:rsid w:val="002C4DEA"/>
    <w:rsid w:val="002E34A7"/>
    <w:rsid w:val="002F40DF"/>
    <w:rsid w:val="00302E02"/>
    <w:rsid w:val="0030313B"/>
    <w:rsid w:val="003127BE"/>
    <w:rsid w:val="00312946"/>
    <w:rsid w:val="00333ABD"/>
    <w:rsid w:val="0033439C"/>
    <w:rsid w:val="00354DAB"/>
    <w:rsid w:val="00377FA9"/>
    <w:rsid w:val="003805A1"/>
    <w:rsid w:val="0038138D"/>
    <w:rsid w:val="00387812"/>
    <w:rsid w:val="003A72A6"/>
    <w:rsid w:val="003A7A65"/>
    <w:rsid w:val="003B283A"/>
    <w:rsid w:val="003B567B"/>
    <w:rsid w:val="003B5B79"/>
    <w:rsid w:val="003B637D"/>
    <w:rsid w:val="003E48B1"/>
    <w:rsid w:val="00413CEE"/>
    <w:rsid w:val="00464BBD"/>
    <w:rsid w:val="004859CB"/>
    <w:rsid w:val="00494392"/>
    <w:rsid w:val="004B2AC9"/>
    <w:rsid w:val="004C46F6"/>
    <w:rsid w:val="004D10A8"/>
    <w:rsid w:val="004D4D18"/>
    <w:rsid w:val="004E290E"/>
    <w:rsid w:val="004F299A"/>
    <w:rsid w:val="004F2BD6"/>
    <w:rsid w:val="00504715"/>
    <w:rsid w:val="0052586F"/>
    <w:rsid w:val="00530195"/>
    <w:rsid w:val="00531905"/>
    <w:rsid w:val="00550435"/>
    <w:rsid w:val="0055226C"/>
    <w:rsid w:val="0055392D"/>
    <w:rsid w:val="00570462"/>
    <w:rsid w:val="00580CD7"/>
    <w:rsid w:val="00592861"/>
    <w:rsid w:val="00593746"/>
    <w:rsid w:val="005C681E"/>
    <w:rsid w:val="005E6600"/>
    <w:rsid w:val="00605AB4"/>
    <w:rsid w:val="00613B51"/>
    <w:rsid w:val="0061691C"/>
    <w:rsid w:val="00622440"/>
    <w:rsid w:val="006321E6"/>
    <w:rsid w:val="00665F6E"/>
    <w:rsid w:val="00670A35"/>
    <w:rsid w:val="006876C2"/>
    <w:rsid w:val="006B0081"/>
    <w:rsid w:val="006B36DF"/>
    <w:rsid w:val="006D4338"/>
    <w:rsid w:val="006D676C"/>
    <w:rsid w:val="006F0947"/>
    <w:rsid w:val="00702873"/>
    <w:rsid w:val="00703F39"/>
    <w:rsid w:val="00717360"/>
    <w:rsid w:val="007324BC"/>
    <w:rsid w:val="0073459D"/>
    <w:rsid w:val="0077083B"/>
    <w:rsid w:val="00775C6A"/>
    <w:rsid w:val="00792D96"/>
    <w:rsid w:val="00793708"/>
    <w:rsid w:val="007977C2"/>
    <w:rsid w:val="007D7652"/>
    <w:rsid w:val="007F4851"/>
    <w:rsid w:val="007F68BA"/>
    <w:rsid w:val="00813154"/>
    <w:rsid w:val="008166A9"/>
    <w:rsid w:val="0081701D"/>
    <w:rsid w:val="00823A69"/>
    <w:rsid w:val="008276A0"/>
    <w:rsid w:val="0085349F"/>
    <w:rsid w:val="008557E8"/>
    <w:rsid w:val="0085644D"/>
    <w:rsid w:val="00856B58"/>
    <w:rsid w:val="00861009"/>
    <w:rsid w:val="00864E66"/>
    <w:rsid w:val="00870495"/>
    <w:rsid w:val="008B0469"/>
    <w:rsid w:val="008B52E5"/>
    <w:rsid w:val="008D7313"/>
    <w:rsid w:val="008F7D25"/>
    <w:rsid w:val="00902EB9"/>
    <w:rsid w:val="009039B8"/>
    <w:rsid w:val="0090423F"/>
    <w:rsid w:val="009152DB"/>
    <w:rsid w:val="00941086"/>
    <w:rsid w:val="009421EC"/>
    <w:rsid w:val="0094568E"/>
    <w:rsid w:val="0096171F"/>
    <w:rsid w:val="009642C7"/>
    <w:rsid w:val="00993ED1"/>
    <w:rsid w:val="00996A44"/>
    <w:rsid w:val="009C2E3F"/>
    <w:rsid w:val="009C6540"/>
    <w:rsid w:val="009E5C89"/>
    <w:rsid w:val="009F47B9"/>
    <w:rsid w:val="009F5141"/>
    <w:rsid w:val="00A22716"/>
    <w:rsid w:val="00A37DEF"/>
    <w:rsid w:val="00A46ECC"/>
    <w:rsid w:val="00A671F0"/>
    <w:rsid w:val="00A67842"/>
    <w:rsid w:val="00A7525A"/>
    <w:rsid w:val="00A754B6"/>
    <w:rsid w:val="00AD3E14"/>
    <w:rsid w:val="00AE0772"/>
    <w:rsid w:val="00AF0F19"/>
    <w:rsid w:val="00B177E0"/>
    <w:rsid w:val="00B223AF"/>
    <w:rsid w:val="00B3338A"/>
    <w:rsid w:val="00B4103F"/>
    <w:rsid w:val="00B55537"/>
    <w:rsid w:val="00B93204"/>
    <w:rsid w:val="00B9580C"/>
    <w:rsid w:val="00B9713D"/>
    <w:rsid w:val="00BE22C8"/>
    <w:rsid w:val="00BF5E3A"/>
    <w:rsid w:val="00C46A62"/>
    <w:rsid w:val="00C56418"/>
    <w:rsid w:val="00C574B3"/>
    <w:rsid w:val="00CA3DA4"/>
    <w:rsid w:val="00CB5D73"/>
    <w:rsid w:val="00CC7CF4"/>
    <w:rsid w:val="00CF2EF3"/>
    <w:rsid w:val="00CF4031"/>
    <w:rsid w:val="00CF66D9"/>
    <w:rsid w:val="00D14855"/>
    <w:rsid w:val="00D27D98"/>
    <w:rsid w:val="00D34EEE"/>
    <w:rsid w:val="00D428C0"/>
    <w:rsid w:val="00D60225"/>
    <w:rsid w:val="00D611C1"/>
    <w:rsid w:val="00D647ED"/>
    <w:rsid w:val="00D728B0"/>
    <w:rsid w:val="00D7654C"/>
    <w:rsid w:val="00DA329C"/>
    <w:rsid w:val="00DB5D7B"/>
    <w:rsid w:val="00DC72FA"/>
    <w:rsid w:val="00DF6A9C"/>
    <w:rsid w:val="00E03264"/>
    <w:rsid w:val="00E22BED"/>
    <w:rsid w:val="00E24F85"/>
    <w:rsid w:val="00E30F52"/>
    <w:rsid w:val="00E65C4D"/>
    <w:rsid w:val="00E723E4"/>
    <w:rsid w:val="00E8053F"/>
    <w:rsid w:val="00EB0A5E"/>
    <w:rsid w:val="00EC6056"/>
    <w:rsid w:val="00ED7567"/>
    <w:rsid w:val="00EE21A4"/>
    <w:rsid w:val="00EE609B"/>
    <w:rsid w:val="00F10F55"/>
    <w:rsid w:val="00F344D1"/>
    <w:rsid w:val="00F34608"/>
    <w:rsid w:val="00F4295F"/>
    <w:rsid w:val="00F445C2"/>
    <w:rsid w:val="00F554A6"/>
    <w:rsid w:val="00F557F8"/>
    <w:rsid w:val="00F857D4"/>
    <w:rsid w:val="00F87810"/>
    <w:rsid w:val="00FC46B8"/>
    <w:rsid w:val="00FF0658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/>
    <o:shapelayout v:ext="edit">
      <o:idmap v:ext="edit" data="1"/>
    </o:shapelayout>
  </w:shapeDefaults>
  <w:doNotEmbedSmartTags/>
  <w:decimalSymbol w:val="."/>
  <w:listSeparator w:val=","/>
  <w14:docId w14:val="72F7721F"/>
  <w15:docId w15:val="{670D0E65-543A-4863-AEA3-7FFBD1AB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0947"/>
    <w:rPr>
      <w:rFonts w:ascii="High Tower Text" w:hAnsi="High Tower Tex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7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57510"/>
    <w:pPr>
      <w:tabs>
        <w:tab w:val="center" w:pos="4320"/>
        <w:tab w:val="right" w:pos="8640"/>
      </w:tabs>
    </w:pPr>
  </w:style>
  <w:style w:type="paragraph" w:customStyle="1" w:styleId="PageHeadings">
    <w:name w:val="Page Headings"/>
    <w:basedOn w:val="Normal"/>
    <w:rsid w:val="00E5751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/>
    </w:pPr>
    <w:rPr>
      <w:rFonts w:ascii="Verdana" w:hAnsi="Verdana"/>
      <w:b/>
      <w:color w:val="B26A42"/>
      <w:sz w:val="34"/>
      <w:szCs w:val="22"/>
    </w:rPr>
  </w:style>
  <w:style w:type="character" w:customStyle="1" w:styleId="ParagraphHeading">
    <w:name w:val="Paragraph Heading"/>
    <w:basedOn w:val="DefaultParagraphFont"/>
    <w:rsid w:val="00E57510"/>
    <w:rPr>
      <w:rFonts w:ascii="Palatino" w:hAnsi="Palatino"/>
      <w:b/>
      <w:color w:val="2B466A"/>
      <w:sz w:val="26"/>
      <w:szCs w:val="22"/>
    </w:rPr>
  </w:style>
  <w:style w:type="paragraph" w:customStyle="1" w:styleId="BodyCopy">
    <w:name w:val="Body Copy"/>
    <w:basedOn w:val="Normal"/>
    <w:rsid w:val="00E5751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 w:line="360" w:lineRule="auto"/>
    </w:pPr>
    <w:rPr>
      <w:rFonts w:ascii="Palatino" w:hAnsi="Palatino"/>
      <w:szCs w:val="22"/>
    </w:rPr>
  </w:style>
  <w:style w:type="character" w:customStyle="1" w:styleId="BulletStyle">
    <w:name w:val="Bullet Style"/>
    <w:basedOn w:val="DefaultParagraphFont"/>
    <w:rsid w:val="00E57510"/>
    <w:rPr>
      <w:rFonts w:ascii="Verdana" w:hAnsi="Verdana"/>
      <w:color w:val="333333"/>
      <w:sz w:val="22"/>
      <w:szCs w:val="22"/>
    </w:rPr>
  </w:style>
  <w:style w:type="paragraph" w:styleId="BalloonText">
    <w:name w:val="Balloon Text"/>
    <w:basedOn w:val="Normal"/>
    <w:semiHidden/>
    <w:rsid w:val="002B59D7"/>
    <w:rPr>
      <w:rFonts w:ascii="Tahoma" w:hAnsi="Tahoma" w:cs="Tahoma"/>
      <w:sz w:val="16"/>
      <w:szCs w:val="16"/>
    </w:rPr>
  </w:style>
  <w:style w:type="paragraph" w:customStyle="1" w:styleId="section1">
    <w:name w:val="section1"/>
    <w:basedOn w:val="Normal"/>
    <w:rsid w:val="00703F3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133EB8"/>
    <w:rPr>
      <w:b/>
      <w:bCs/>
    </w:rPr>
  </w:style>
  <w:style w:type="character" w:styleId="Hyperlink">
    <w:name w:val="Hyperlink"/>
    <w:basedOn w:val="DefaultParagraphFont"/>
    <w:rsid w:val="007F68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484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this style for a page heading</vt:lpstr>
    </vt:vector>
  </TitlesOfParts>
  <Company>US HealthConnect</Company>
  <LinksUpToDate>false</LinksUpToDate>
  <CharactersWithSpaces>3934</CharactersWithSpaces>
  <SharedDoc>false</SharedDoc>
  <HLinks>
    <vt:vector size="6" baseType="variant">
      <vt:variant>
        <vt:i4>4653130</vt:i4>
      </vt:variant>
      <vt:variant>
        <vt:i4>3</vt:i4>
      </vt:variant>
      <vt:variant>
        <vt:i4>0</vt:i4>
      </vt:variant>
      <vt:variant>
        <vt:i4>5</vt:i4>
      </vt:variant>
      <vt:variant>
        <vt:lpwstr>../../../CME/OverallEducationalPurposeStatements 2010.doc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this style for a page heading</dc:title>
  <dc:creator>Tim Petrosky</dc:creator>
  <cp:lastModifiedBy>Amanda Hilferty</cp:lastModifiedBy>
  <cp:revision>4</cp:revision>
  <cp:lastPrinted>2017-02-08T16:37:00Z</cp:lastPrinted>
  <dcterms:created xsi:type="dcterms:W3CDTF">2020-10-01T16:14:00Z</dcterms:created>
  <dcterms:modified xsi:type="dcterms:W3CDTF">2020-10-01T18:09:00Z</dcterms:modified>
</cp:coreProperties>
</file>